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19" w:rsidRDefault="00614519"/>
    <w:p w:rsidR="00614519" w:rsidRPr="00614519" w:rsidRDefault="00614519" w:rsidP="00C144B6">
      <w:pPr>
        <w:ind w:left="5" w:firstLine="58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5928A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распоряжению</w:t>
      </w:r>
    </w:p>
    <w:p w:rsidR="00614519" w:rsidRPr="00614519" w:rsidRDefault="00614519" w:rsidP="00C144B6">
      <w:pPr>
        <w:ind w:left="5" w:firstLine="58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комиссии </w:t>
      </w:r>
    </w:p>
    <w:p w:rsidR="00614519" w:rsidRDefault="00614519" w:rsidP="00C144B6">
      <w:pPr>
        <w:ind w:left="0"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Северо-Енисейского района </w:t>
      </w:r>
    </w:p>
    <w:p w:rsidR="00D42813" w:rsidRPr="00614519" w:rsidRDefault="00D42813" w:rsidP="00C144B6">
      <w:pPr>
        <w:ind w:left="0" w:firstLine="581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04.02.2022г. № 002</w:t>
      </w:r>
    </w:p>
    <w:p w:rsidR="00614519" w:rsidRPr="00614519" w:rsidRDefault="00614519" w:rsidP="00C144B6">
      <w:pPr>
        <w:ind w:left="-6237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C144B6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144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 №011</w:t>
      </w:r>
    </w:p>
    <w:p w:rsidR="00614519" w:rsidRPr="00614519" w:rsidRDefault="00614519" w:rsidP="00614519">
      <w:pPr>
        <w:spacing w:after="200"/>
        <w:ind w:left="0" w:firstLine="0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14519" w:rsidRDefault="00614519" w:rsidP="00614519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42813" w:rsidRDefault="00D42813" w:rsidP="00614519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42813" w:rsidRDefault="00D42813" w:rsidP="00614519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D42813" w:rsidRPr="00614519" w:rsidRDefault="00D42813" w:rsidP="00614519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614519" w:rsidRPr="00614519" w:rsidRDefault="00614519" w:rsidP="00D42813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 ОРГАНИЗАЦИИ ДЕЯТЕЛЬНОСТИ КОНТРОЛЬНО – СЧЁТНОЙ КОМИССИИ СЕВЕРО-ЕНИСЕЙСКОГО РАЙОНА</w:t>
      </w:r>
    </w:p>
    <w:p w:rsidR="00614519" w:rsidRPr="00614519" w:rsidRDefault="00614519" w:rsidP="00D42813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519" w:rsidRPr="00614519" w:rsidRDefault="00614519" w:rsidP="00614519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519" w:rsidRPr="00614519" w:rsidRDefault="00614519" w:rsidP="00614519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519" w:rsidRPr="00614519" w:rsidRDefault="00614519" w:rsidP="00614519">
      <w:pPr>
        <w:spacing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14519" w:rsidRPr="00D42813" w:rsidRDefault="00614519" w:rsidP="00D42813">
      <w:pPr>
        <w:spacing w:line="276" w:lineRule="auto"/>
        <w:ind w:left="0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28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 1 «ПЛАНИРОВАНИЕ РАБОТЫ КОНТРОЛЬНО-СЧЕТНОЙ КОМИССИИ СЕВЕРО-ЕНИСЕЙСКОГО РАЙОНА»</w:t>
      </w:r>
    </w:p>
    <w:p w:rsidR="00614519" w:rsidRPr="00D42813" w:rsidRDefault="00614519" w:rsidP="00D42813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BD6264" w:rsidRDefault="00614519" w:rsidP="00614519">
      <w:pPr>
        <w:spacing w:after="200" w:line="276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BD6264" w:rsidRDefault="00614519" w:rsidP="00614519">
      <w:pPr>
        <w:spacing w:after="200" w:line="276" w:lineRule="auto"/>
        <w:ind w:left="0" w:firstLine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14519" w:rsidRPr="00BD6264" w:rsidRDefault="00614519" w:rsidP="00614519">
      <w:pPr>
        <w:spacing w:after="200" w:line="276" w:lineRule="auto"/>
        <w:ind w:left="0" w:firstLine="0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428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14519" w:rsidRPr="00614519" w:rsidRDefault="00614519" w:rsidP="00614519">
      <w:pPr>
        <w:widowControl w:val="0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145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11352" w:rsidRDefault="00511352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6"/>
        <w:gridCol w:w="7371"/>
        <w:gridCol w:w="1418"/>
      </w:tblGrid>
      <w:tr w:rsidR="00303459" w:rsidTr="00130BDD">
        <w:trPr>
          <w:trHeight w:val="951"/>
        </w:trPr>
        <w:tc>
          <w:tcPr>
            <w:tcW w:w="1276" w:type="dxa"/>
            <w:vAlign w:val="center"/>
          </w:tcPr>
          <w:p w:rsidR="00303459" w:rsidRPr="00BD42FC" w:rsidRDefault="00303459" w:rsidP="006D10B3">
            <w:pPr>
              <w:ind w:left="0" w:right="-533"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D4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71" w:type="dxa"/>
            <w:vAlign w:val="center"/>
          </w:tcPr>
          <w:p w:rsidR="00303459" w:rsidRPr="00BD42FC" w:rsidRDefault="00BD42FC" w:rsidP="006D10B3">
            <w:pPr>
              <w:ind w:left="0" w:firstLine="34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42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Общие положения</w:t>
            </w:r>
          </w:p>
        </w:tc>
        <w:tc>
          <w:tcPr>
            <w:tcW w:w="1418" w:type="dxa"/>
            <w:vAlign w:val="center"/>
          </w:tcPr>
          <w:p w:rsidR="00303459" w:rsidRPr="00456EF5" w:rsidRDefault="00456EF5" w:rsidP="003C7523">
            <w:pPr>
              <w:ind w:left="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03459" w:rsidTr="00130BDD">
        <w:trPr>
          <w:trHeight w:val="837"/>
        </w:trPr>
        <w:tc>
          <w:tcPr>
            <w:tcW w:w="1276" w:type="dxa"/>
            <w:vAlign w:val="center"/>
          </w:tcPr>
          <w:p w:rsidR="00303459" w:rsidRPr="00456EF5" w:rsidRDefault="00456EF5" w:rsidP="008464AA">
            <w:pPr>
              <w:ind w:left="0" w:firstLine="709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6E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371" w:type="dxa"/>
            <w:vAlign w:val="center"/>
          </w:tcPr>
          <w:p w:rsidR="008464AA" w:rsidRPr="008464AA" w:rsidRDefault="008464AA" w:rsidP="008464AA">
            <w:pPr>
              <w:keepNext/>
              <w:keepLines/>
              <w:ind w:left="0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464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 xml:space="preserve">Цель, задачи и принципы планирования работы </w:t>
            </w:r>
            <w:r w:rsidRPr="008464AA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br/>
              <w:t>Контрольно-счетной комиссии</w:t>
            </w:r>
          </w:p>
          <w:p w:rsidR="00303459" w:rsidRDefault="00303459" w:rsidP="006D10B3">
            <w:pPr>
              <w:ind w:left="0" w:firstLine="709"/>
              <w:jc w:val="lef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303459" w:rsidRPr="006D10B3" w:rsidRDefault="006D10B3" w:rsidP="003C7523">
            <w:pPr>
              <w:ind w:left="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4-5</w:t>
            </w:r>
          </w:p>
        </w:tc>
      </w:tr>
      <w:tr w:rsidR="00303459" w:rsidTr="00130BDD">
        <w:trPr>
          <w:trHeight w:val="820"/>
        </w:trPr>
        <w:tc>
          <w:tcPr>
            <w:tcW w:w="1276" w:type="dxa"/>
          </w:tcPr>
          <w:p w:rsidR="00303459" w:rsidRPr="006D10B3" w:rsidRDefault="006D10B3" w:rsidP="0030345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371" w:type="dxa"/>
          </w:tcPr>
          <w:p w:rsidR="006D10B3" w:rsidRPr="006D10B3" w:rsidRDefault="006D10B3" w:rsidP="006D10B3">
            <w:pPr>
              <w:keepNext/>
              <w:keepLines/>
              <w:ind w:left="0" w:firstLine="0"/>
              <w:jc w:val="left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D10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Формирование и утверждение годового плана работы </w:t>
            </w:r>
            <w:r w:rsidRPr="006D10B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  <w:t>Контрольно-счетной комиссии</w:t>
            </w:r>
          </w:p>
          <w:p w:rsidR="00303459" w:rsidRDefault="00303459" w:rsidP="0030345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3459" w:rsidRPr="006D10B3" w:rsidRDefault="006D10B3" w:rsidP="003C7523">
            <w:pPr>
              <w:ind w:left="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0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</w:tr>
      <w:tr w:rsidR="00303459" w:rsidTr="008464AA">
        <w:trPr>
          <w:trHeight w:val="839"/>
        </w:trPr>
        <w:tc>
          <w:tcPr>
            <w:tcW w:w="1276" w:type="dxa"/>
          </w:tcPr>
          <w:p w:rsidR="00303459" w:rsidRPr="008464AA" w:rsidRDefault="008464AA" w:rsidP="0030345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371" w:type="dxa"/>
          </w:tcPr>
          <w:p w:rsidR="00303459" w:rsidRPr="008464AA" w:rsidRDefault="008464AA" w:rsidP="008464AA">
            <w:pPr>
              <w:ind w:left="0" w:firstLine="34"/>
              <w:jc w:val="left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464A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Форма, структура и содержание годового плана работы Контрольно-счетной комиссии</w:t>
            </w:r>
          </w:p>
        </w:tc>
        <w:tc>
          <w:tcPr>
            <w:tcW w:w="1418" w:type="dxa"/>
          </w:tcPr>
          <w:p w:rsidR="00303459" w:rsidRPr="008464AA" w:rsidRDefault="008464AA" w:rsidP="003C7523">
            <w:pPr>
              <w:ind w:left="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303459" w:rsidTr="00130BDD">
        <w:trPr>
          <w:trHeight w:val="774"/>
        </w:trPr>
        <w:tc>
          <w:tcPr>
            <w:tcW w:w="1276" w:type="dxa"/>
          </w:tcPr>
          <w:p w:rsidR="00303459" w:rsidRPr="008464AA" w:rsidRDefault="008464AA" w:rsidP="0030345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371" w:type="dxa"/>
          </w:tcPr>
          <w:p w:rsidR="008464AA" w:rsidRPr="001B6E78" w:rsidRDefault="001B6E78" w:rsidP="001B6E78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годового плана работы Контрольно-счетной комиссии</w:t>
            </w:r>
          </w:p>
          <w:p w:rsidR="00303459" w:rsidRDefault="00303459" w:rsidP="001B6E78">
            <w:pPr>
              <w:keepNext/>
              <w:keepLines/>
              <w:ind w:left="0" w:firstLine="0"/>
              <w:jc w:val="left"/>
              <w:outlineLvl w:val="0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303459" w:rsidRPr="001B6E78" w:rsidRDefault="001B6E78" w:rsidP="003C7523">
            <w:pPr>
              <w:ind w:left="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6E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7-8</w:t>
            </w:r>
          </w:p>
        </w:tc>
      </w:tr>
      <w:tr w:rsidR="00303459" w:rsidTr="00130BDD">
        <w:trPr>
          <w:trHeight w:val="886"/>
        </w:trPr>
        <w:tc>
          <w:tcPr>
            <w:tcW w:w="1276" w:type="dxa"/>
          </w:tcPr>
          <w:p w:rsidR="00303459" w:rsidRPr="003C7523" w:rsidRDefault="003C7523" w:rsidP="00303459">
            <w:pPr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371" w:type="dxa"/>
          </w:tcPr>
          <w:p w:rsidR="00303459" w:rsidRPr="003C7523" w:rsidRDefault="003C7523" w:rsidP="003C7523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C7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3C7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годового плана работы Контрольно-счетной комиссии</w:t>
            </w:r>
          </w:p>
        </w:tc>
        <w:tc>
          <w:tcPr>
            <w:tcW w:w="1418" w:type="dxa"/>
          </w:tcPr>
          <w:p w:rsidR="00303459" w:rsidRPr="00130BDD" w:rsidRDefault="00130BDD" w:rsidP="00130BDD">
            <w:pPr>
              <w:ind w:left="0" w:firstLine="70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B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511352" w:rsidRDefault="00511352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11352" w:rsidRDefault="00511352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11352" w:rsidRDefault="00511352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11352" w:rsidRDefault="00511352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11352" w:rsidRDefault="00511352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456EF5" w:rsidRDefault="00456EF5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511352" w:rsidRDefault="00511352" w:rsidP="00AF0149">
      <w:pPr>
        <w:ind w:left="0"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5113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511352" w:rsidRPr="00614519" w:rsidRDefault="00511352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053E14" w:rsidRDefault="00AF0149" w:rsidP="00FC0365">
      <w:pPr>
        <w:spacing w:after="20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614519"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 организации деятельности</w:t>
      </w:r>
      <w:r w:rsidR="00614519" w:rsidRPr="006145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Контрольно-счетной комиссии Северо-Енисейского района (далее</w:t>
      </w:r>
      <w:r w:rsidR="00AF6A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C03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193C5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614519" w:rsidRPr="006145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Контрольно-счетная комиссия) «</w:t>
      </w:r>
      <w:r w:rsidR="00614519"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работы </w:t>
      </w:r>
      <w:r w:rsidR="00614519" w:rsidRPr="006145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Контрольно-счетной комиссии Северо-Енисейского района»</w:t>
      </w:r>
      <w:r w:rsidR="00614519"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целях реализации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="00786A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со статьей </w:t>
      </w:r>
      <w:r w:rsidR="00AF6AAC">
        <w:rPr>
          <w:rFonts w:ascii="Times New Roman" w:eastAsia="Times New Roman" w:hAnsi="Times New Roman" w:cs="Times New Roman"/>
          <w:sz w:val="28"/>
          <w:szCs w:val="28"/>
          <w:lang w:eastAsia="ru-RU"/>
        </w:rPr>
        <w:t>11 Положения о Контрольно-счетной комиссии Северо-Енисейского района, утвержденного решением Северо-Енисейского районного Совета депутатов от 23.12.2022 №420-28</w:t>
      </w:r>
      <w:proofErr w:type="gramEnd"/>
      <w:r w:rsidR="00053E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14519"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также </w:t>
      </w:r>
      <w:r w:rsidR="00614519" w:rsidRPr="00614519">
        <w:rPr>
          <w:rFonts w:ascii="Times New Roman" w:eastAsia="Times New Roman" w:hAnsi="Times New Roman" w:cs="Times New Roman"/>
          <w:sz w:val="28"/>
          <w:lang w:eastAsia="ru-RU"/>
        </w:rPr>
        <w:t xml:space="preserve">с учетом </w:t>
      </w:r>
      <w:r w:rsidR="00614519"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Регламента Контрольно-счетной комиссии Северо-Енисейского района.</w:t>
      </w:r>
    </w:p>
    <w:p w:rsidR="00614519" w:rsidRPr="00614519" w:rsidRDefault="00614519" w:rsidP="00FC0365">
      <w:pPr>
        <w:spacing w:after="20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Целью настоящего стандарта является установление общих принципов, правил и процедур планирования работы Контрольно-счетной комиссии</w:t>
      </w:r>
      <w:r w:rsidR="0005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 района (дале</w:t>
      </w:r>
      <w:proofErr w:type="gramStart"/>
      <w:r w:rsidR="00053E14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053E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Контрольно-счетная комиссия)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519" w:rsidRPr="00614519" w:rsidRDefault="00614519" w:rsidP="00FC0365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Задачами настоящего стандарта являются:</w:t>
      </w:r>
    </w:p>
    <w:p w:rsidR="00614519" w:rsidRPr="00614519" w:rsidRDefault="00614519" w:rsidP="00FC0365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целей, задач и принципов планирования работы Контрольно-счетной комиссии;</w:t>
      </w:r>
    </w:p>
    <w:p w:rsidR="00614519" w:rsidRPr="00614519" w:rsidRDefault="00614519" w:rsidP="00FC0365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-установление порядка формирования и утверждения</w:t>
      </w:r>
      <w:r w:rsidRPr="006145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плана </w:t>
      </w:r>
      <w:r w:rsidR="00053E1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работы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</w:t>
      </w: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614519" w:rsidRPr="00614519" w:rsidRDefault="00614519" w:rsidP="00FC0365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 установление требований к форме, структуре и содержанию</w:t>
      </w:r>
      <w:r w:rsidR="006D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Контрольно-счетной комиссии;</w:t>
      </w:r>
    </w:p>
    <w:p w:rsidR="00614519" w:rsidRDefault="00614519" w:rsidP="00614519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установление порядка </w:t>
      </w:r>
      <w:r w:rsidR="006D7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изменений в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Контрольно-счетной комиссии и контрол</w:t>
      </w:r>
      <w:r w:rsidR="006D72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44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исполнения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работы Контрольно-счетной </w:t>
      </w:r>
      <w:r w:rsidR="00F5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44A2" w:rsidRPr="00614519" w:rsidRDefault="00F544A2" w:rsidP="00614519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-определение порядка доведения плана работы Контрольно-счетной комиссии до сведения органов власти и общественности</w:t>
      </w:r>
      <w:r w:rsidR="001E5B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разработке настоящего стандарта использован стандарт организации деятельности СОД «Планирование работы контрольно-счетного органа муниципального образования», утвержденный решением Президиума Союза МКСО (протокол заседания Президиума Союза МКСО от 19.12.2012 № 5 (31).</w:t>
      </w:r>
      <w:proofErr w:type="gramEnd"/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1.5.</w:t>
      </w:r>
      <w:r w:rsidRPr="00614519">
        <w:rPr>
          <w:rFonts w:ascii="Calibri" w:eastAsia="Times New Roman" w:hAnsi="Calibri" w:cs="Times New Roman"/>
          <w:lang w:eastAsia="ru-RU"/>
        </w:rPr>
        <w:t xml:space="preserve">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внесения изменений в нормативные правовые акты, ссылки на которые содержатся в настоящем Стандарте (замены их 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новыми</w:t>
      </w:r>
      <w:proofErr w:type="gramEnd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положения стандарта применяются в части, не противоречащей вышеуказанным нормативным правовым актам.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584D8B">
      <w:pPr>
        <w:keepNext/>
        <w:keepLines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Toc387006349"/>
      <w:bookmarkStart w:id="1" w:name="_Toc387006426"/>
      <w:bookmarkStart w:id="2" w:name="_Toc387006589"/>
      <w:bookmarkStart w:id="3" w:name="_Toc5094923"/>
      <w:r w:rsidRPr="0061451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2</w:t>
      </w:r>
      <w:r w:rsidRPr="00614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61451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 xml:space="preserve">Цель, задачи и принципы планирования работы </w:t>
      </w:r>
      <w:r w:rsidRPr="0061451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br/>
        <w:t>Контрольно-счетной комиссии</w:t>
      </w:r>
      <w:bookmarkEnd w:id="0"/>
      <w:bookmarkEnd w:id="1"/>
      <w:bookmarkEnd w:id="2"/>
      <w:bookmarkEnd w:id="3"/>
    </w:p>
    <w:p w:rsidR="00614519" w:rsidRPr="00614519" w:rsidRDefault="00614519" w:rsidP="00584D8B">
      <w:pPr>
        <w:widowControl w:val="0"/>
        <w:autoSpaceDE w:val="0"/>
        <w:autoSpaceDN w:val="0"/>
        <w:adjustRightInd w:val="0"/>
        <w:ind w:left="0"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2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.1. 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Контрольно-счетной комиссии осуществляется в целях обеспечения выполнения Контрольно-счетной комиссией полномочий, определенных Бюджетным кодексом Российской Федерации; Федеральным законом от 07.02.2011 № 6-ФЗ «Об общих принципах организации и деятельности контрольно-счетных органов субъектов Российской Федерации и муниципальных образований»; иными федеральными законами; законами Красноярского края; Уставом Северо-Енисейского района (далее – Устав), решениями Северо-Енисейского районного Совета депутатов</w:t>
      </w:r>
      <w:r w:rsidR="009738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Районный Совет)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Планирование </w:t>
      </w:r>
      <w:r w:rsidR="00773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основывается на системном подходе, и осуществляется с учетом всех видов и направлений деятельности Контрольно-счетной комиссии, а также с учетом результатов проведенных </w:t>
      </w:r>
      <w:r w:rsidR="00E272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и экспертно-аналитических мероприятий.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2</w:t>
      </w:r>
      <w:r w:rsidRPr="00614519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.</w:t>
      </w:r>
      <w:r w:rsidRPr="0061451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2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4519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 </w:t>
      </w:r>
      <w:r w:rsidR="00E272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планирования является формирование и утверждение плана работы Контрольно-счетной комиссии</w:t>
      </w:r>
      <w:r w:rsidR="00D80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Планирование </w:t>
      </w:r>
      <w:r w:rsidR="00584E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Контрольно-счетной комиссии основывается на следующих принципах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соответствие планирования целям, задачам и полномочиям органов внешнего муниципального финансового контроля;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 непрерывность планирования;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комплексность планирования;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равномерность распределения контрольных мероприятий по главным распорядителям средств бюджета Северо-Енисейского района; 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рациональность распределения трудовых, финансовых, материальных и иных ресурсов, направляемых на обеспечение выполнения полномочий Контрольно-счетной палаты;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системная периодичность проведения мероприятий на объектах контроля;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 координация планов работы Контрольно-счетной комиссии с планами работы других контрольных органов, в том числе, органов финансового контроля.</w:t>
      </w:r>
    </w:p>
    <w:p w:rsidR="00614519" w:rsidRPr="00614519" w:rsidRDefault="00614519" w:rsidP="00614519">
      <w:pPr>
        <w:widowControl w:val="0"/>
        <w:tabs>
          <w:tab w:val="left" w:pos="129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2.4.</w:t>
      </w: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bookmarkStart w:id="4" w:name="bookmark6"/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необходимости, в Контрольно-счетной комиссии могут разрабатываться и другие плановые документы (планы мероприятий, направленные на решение определенных задач, и др.).</w:t>
      </w:r>
      <w:bookmarkEnd w:id="4"/>
    </w:p>
    <w:p w:rsidR="00614519" w:rsidRPr="00614519" w:rsidRDefault="00614519" w:rsidP="00614519">
      <w:pPr>
        <w:widowControl w:val="0"/>
        <w:tabs>
          <w:tab w:val="left" w:pos="1298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614519" w:rsidRPr="00614519" w:rsidRDefault="00614519" w:rsidP="00584D8B">
      <w:pPr>
        <w:keepNext/>
        <w:keepLines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_Toc5094925"/>
      <w:bookmarkStart w:id="6" w:name="_Toc387006350"/>
      <w:bookmarkStart w:id="7" w:name="_Toc387006427"/>
      <w:bookmarkStart w:id="8" w:name="_Toc387006590"/>
      <w:r w:rsidRPr="00614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 Формирование и утверждение годового плана работы </w:t>
      </w:r>
      <w:r w:rsidRPr="00614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Контрольно-счетной комиссии</w:t>
      </w:r>
      <w:bookmarkEnd w:id="5"/>
    </w:p>
    <w:bookmarkEnd w:id="6"/>
    <w:bookmarkEnd w:id="7"/>
    <w:bookmarkEnd w:id="8"/>
    <w:p w:rsidR="00614519" w:rsidRPr="00614519" w:rsidRDefault="00614519" w:rsidP="00614519">
      <w:pPr>
        <w:keepNext/>
        <w:keepLines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Контрольно-счетная </w:t>
      </w:r>
      <w:r w:rsidR="005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свою деятельность на основе годового плана работы Контрольно-счетной </w:t>
      </w:r>
      <w:r w:rsidR="005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председателем Контрольно-счетной </w:t>
      </w:r>
      <w:r w:rsidR="005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очередной год.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bCs/>
          <w:sz w:val="28"/>
          <w:lang w:eastAsia="ru-RU"/>
        </w:rPr>
        <w:t>3.2. 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включает в себя мероприятия, осуществляемые Контрольно-счетной </w:t>
      </w:r>
      <w:r w:rsidR="00584D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комиссией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полномочиями в сфере внешнего муниципального финансового контроля, установленными федеральными законами, законами Красноярского края, Уставом района, решениями</w:t>
      </w:r>
      <w:r w:rsidR="0072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Северо-Енисейского районного Совета депутатов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ины</w:t>
      </w:r>
      <w:r w:rsidR="005D6D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2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мероприятия, связанны</w:t>
      </w:r>
      <w:r w:rsidR="005D6D9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организацией деятельности Контрольно-счетной комиссии.</w:t>
      </w:r>
      <w:proofErr w:type="gramEnd"/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Контрольно-счетной комиссией</w:t>
      </w:r>
      <w:r w:rsidR="00723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DB5"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</w:t>
      </w:r>
      <w:r w:rsidR="003E20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D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Северо-Енисейского районного Совета депутатов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предложений Главы</w:t>
      </w:r>
      <w:r w:rsidR="000C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Северо - Енисейского района (далее – Глава района)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6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862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о проведении мероприятий с участием других контрольных (контрольно-счетных),</w:t>
      </w:r>
      <w:r w:rsidR="00C21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2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предусмотренном</w:t>
      </w:r>
      <w:r w:rsidR="00EC3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заключенными соглашениями с указанными органами,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результатов проведенных Контрольно-счетной комиссией контрольных и экспертно-аналитических мероприятий.</w:t>
      </w:r>
      <w:proofErr w:type="gramEnd"/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Pr="00614519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> 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и утверждение плана работы Контрольно-счетной комиссии осуществляется с учетом сроков, установленных настоящим стандартом. 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Pr="00614519">
        <w:rPr>
          <w:rFonts w:ascii="Times New Roman" w:eastAsia="Times New Roman" w:hAnsi="Times New Roman" w:cs="Times New Roman"/>
          <w:spacing w:val="33"/>
          <w:sz w:val="28"/>
          <w:szCs w:val="28"/>
          <w:lang w:eastAsia="ru-RU"/>
        </w:rPr>
        <w:t> 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плана работы Контрольно-счетной комиссии</w:t>
      </w:r>
      <w:r w:rsidRPr="006145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 себя следующие основные стадии: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направление в </w:t>
      </w:r>
      <w:r w:rsidR="000C4A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Совет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Главе района, обращений о предоставлении </w:t>
      </w:r>
      <w:r w:rsidR="003E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поручений и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для включения мероприятий в план работы;</w:t>
      </w:r>
    </w:p>
    <w:p w:rsidR="00614519" w:rsidRPr="00614519" w:rsidRDefault="00614519" w:rsidP="00614519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 рассмотрение поступивших в Контрольно-счетную комиссию</w:t>
      </w:r>
      <w:r w:rsidR="003E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поручений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предложений о проведении мероприятий от лиц, указанных в пункте 3.3 настоящего стандарта; </w:t>
      </w:r>
    </w:p>
    <w:p w:rsidR="00614519" w:rsidRPr="00614519" w:rsidRDefault="00614519" w:rsidP="00614519">
      <w:pPr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</w:t>
      </w: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</w:t>
      </w:r>
      <w:r w:rsidR="003E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поручений,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для включения мероприятий в план работы направляются в </w:t>
      </w:r>
      <w:r w:rsidR="008E53F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Районный Совет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Главе района, не позднее 1 декабря года предшествующего 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4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 </w:t>
      </w:r>
      <w:r w:rsidR="000C4A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предложения Главы района,</w:t>
      </w:r>
      <w:r w:rsidR="0070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 w:rsidR="00BB21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(контрольно-счетных)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направляются  в Контрольно-счетную </w:t>
      </w:r>
      <w:r w:rsidR="00E84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комиссию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15 декабря года предшествующего 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планируемому</w:t>
      </w:r>
      <w:proofErr w:type="gramEnd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и подготовки проекта плана работы.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lang w:eastAsia="ru-RU"/>
        </w:rPr>
        <w:t xml:space="preserve">3.7. При подготовке обоснования необходимости включения мероприятия в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Контрольно-счетной комиссии учитываются следующие критерии: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рисков в рассматриваемой сфере формирования или использования бюджетных средств, муниципальной собственности и (или) деятельности объектов контроля, которые потенциально могут приводить к негативным результатам;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предварительный объем проверяемых средств (при возможности оценки объема);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сведения о проведенных ранее органами финансового контроля мероприятиях по предмету предлагаемого мероприятия (с указанием проверяемого периода).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Наименование планируемого мероприятия должно иметь четкую, однозначную формулировку его предмета, и соответствовать полномочиям Контрольно-счетной комиссии в сфере внешнего муниципального финансового контроля, установленным федеральными законами, законами Красноярского края, решениями </w:t>
      </w:r>
      <w:r w:rsidR="00BB211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планирования проведения совместного мероприятия в его наименовании в скобках указываются контрольно-счетные органы, совместно с которыми планируется проведение мероприятия.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3.9. При выборе предмета мероприятия следует учитывать: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предмета мероприятия полномочиям Контрольно-счетной </w:t>
      </w:r>
      <w:r w:rsidR="00E842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 предмета мероприятия.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 Перечень объектов контроля (при наличии) должен содержать полные и точные наименования объектов с указанием их организационно-правовой формы. Планирование проведения мероприятий на одном объекте контроля в различные периоды времени в течение одного календарного года не допускается. Данное положение не распространяется на объекты контроля по мероприятиям, проводимым ежегодно в 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</w:t>
      </w:r>
      <w:proofErr w:type="gramEnd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контроля формирования и исполнения бюджета района, на главных администраторов бюджетных средств, муниципальные учреждения.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proofErr w:type="gramStart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6B6DC3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</w:t>
      </w:r>
      <w:r w:rsidR="006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проведения мероприятия необходимо учитывать сроки его проведения, определённые стандартами Контрольно-счетной комиссии.</w:t>
      </w:r>
    </w:p>
    <w:p w:rsidR="00614519" w:rsidRPr="00614519" w:rsidRDefault="00614519" w:rsidP="00614519">
      <w:pPr>
        <w:tabs>
          <w:tab w:val="left" w:pos="1080"/>
        </w:tabs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3D335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14519">
        <w:rPr>
          <w:rFonts w:ascii="Times New Roman" w:eastAsia="Times New Roman" w:hAnsi="Times New Roman" w:cs="Arial"/>
          <w:sz w:val="28"/>
          <w:szCs w:val="28"/>
          <w:lang w:eastAsia="ru-RU"/>
        </w:rPr>
        <w:t>План работы Контрольно-счетной комиссии должен формироваться таким образом, чтобы он был реально выполнимым и создавал условия для качественного выполнения планируемых мероприятий в установленные сроки.</w:t>
      </w:r>
    </w:p>
    <w:p w:rsidR="00614519" w:rsidRPr="00614519" w:rsidRDefault="00614519" w:rsidP="00614519">
      <w:pPr>
        <w:tabs>
          <w:tab w:val="left" w:pos="1080"/>
        </w:tabs>
        <w:autoSpaceDE w:val="0"/>
        <w:autoSpaceDN w:val="0"/>
        <w:adjustRightInd w:val="0"/>
        <w:ind w:left="0" w:firstLine="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Поручения </w:t>
      </w:r>
      <w:r w:rsidR="006912A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Районного </w:t>
      </w:r>
      <w:r w:rsidRPr="0061451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Совета подлежат обязательному включению в план работы Контрольно-счетной комиссии. </w:t>
      </w:r>
      <w:proofErr w:type="gramStart"/>
      <w:r w:rsidRPr="0061451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Контрольно-счетная комиссия вправе отказать во включении в План работы </w:t>
      </w:r>
      <w:r w:rsidR="00F772B0">
        <w:rPr>
          <w:rFonts w:ascii="Times New Roman" w:eastAsia="Times New Roman" w:hAnsi="Times New Roman" w:cs="Arial"/>
          <w:sz w:val="28"/>
          <w:szCs w:val="28"/>
          <w:lang w:eastAsia="ru-RU"/>
        </w:rPr>
        <w:t>поручений</w:t>
      </w:r>
      <w:r w:rsidRPr="0061451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6912A9">
        <w:rPr>
          <w:rFonts w:ascii="Times New Roman" w:eastAsia="Times New Roman" w:hAnsi="Times New Roman" w:cs="Arial"/>
          <w:sz w:val="28"/>
          <w:szCs w:val="28"/>
          <w:lang w:eastAsia="ru-RU"/>
        </w:rPr>
        <w:t>Районного Совета</w:t>
      </w:r>
      <w:r w:rsidRPr="00614519">
        <w:rPr>
          <w:rFonts w:ascii="Times New Roman" w:eastAsia="Times New Roman" w:hAnsi="Times New Roman" w:cs="Arial"/>
          <w:sz w:val="28"/>
          <w:szCs w:val="28"/>
          <w:lang w:eastAsia="ru-RU"/>
        </w:rPr>
        <w:t>, предложений Главы района</w:t>
      </w:r>
      <w:r w:rsidR="00F772B0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61451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если их выполнение выходит за пределы полномочий Контрольно-счетной комиссии, либо если мероприятие по тому же предмету и с тем же проверяемым периодом уже было проведено Контрольно-счетной комиссией или иным органом муниципального финансового контроля, а также в иных случаях.</w:t>
      </w:r>
      <w:proofErr w:type="gramEnd"/>
    </w:p>
    <w:p w:rsidR="00614519" w:rsidRPr="00614519" w:rsidRDefault="00614519" w:rsidP="00614519">
      <w:pPr>
        <w:widowControl w:val="0"/>
        <w:tabs>
          <w:tab w:val="left" w:pos="0"/>
          <w:tab w:val="left" w:pos="1049"/>
        </w:tabs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3.12 Утвержденный План работы направляется на согласование в  Северо-Енисейский районный Совет депутатов, </w:t>
      </w:r>
      <w:bookmarkStart w:id="9" w:name="_Toc387006351"/>
      <w:bookmarkStart w:id="10" w:name="_Toc387006428"/>
      <w:bookmarkStart w:id="11" w:name="_Toc387006591"/>
      <w:r w:rsidRPr="00614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также размещается в информационно-телекоммуникационной сети Интернет, </w:t>
      </w:r>
      <w:r w:rsidRPr="00614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течение 5 дней с момента его принятия, </w:t>
      </w:r>
      <w:r w:rsidRPr="00614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сайте муниципального образования Северо-Енисейский район – «Контрольно-счетная комиссия».</w:t>
      </w:r>
    </w:p>
    <w:p w:rsidR="00614519" w:rsidRPr="00614519" w:rsidRDefault="00614519" w:rsidP="00614519">
      <w:pPr>
        <w:widowControl w:val="0"/>
        <w:tabs>
          <w:tab w:val="left" w:pos="1049"/>
        </w:tabs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4519" w:rsidRPr="00614519" w:rsidRDefault="00614519" w:rsidP="006B6DC3">
      <w:pPr>
        <w:keepNext/>
        <w:keepLines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2" w:name="_Toc5094926"/>
      <w:r w:rsidRPr="00614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Форма, структура и содержание годового плана работы Контрольно-счетной комиссии</w:t>
      </w:r>
      <w:bookmarkEnd w:id="9"/>
      <w:bookmarkEnd w:id="10"/>
      <w:bookmarkEnd w:id="11"/>
      <w:bookmarkEnd w:id="12"/>
    </w:p>
    <w:p w:rsidR="00614519" w:rsidRPr="00614519" w:rsidRDefault="00614519" w:rsidP="006B6DC3">
      <w:pPr>
        <w:ind w:left="0" w:firstLine="0"/>
        <w:rPr>
          <w:rFonts w:ascii="Calibri" w:eastAsia="Times New Roman" w:hAnsi="Calibri" w:cs="Times New Roman"/>
          <w:sz w:val="20"/>
          <w:lang w:eastAsia="ru-RU"/>
        </w:rPr>
      </w:pP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4.1. План работы Контрольно-счетной комиссии имеет табличную форму. Примерная форма плана работы Контрольно-счетной комиссии приведена в приложении 1 к настоящему стандарту.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Toc488832480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План работы включает контрольные, экспертно-аналитические и иные мероприятия с указанием сроков их проведения.</w:t>
      </w:r>
      <w:bookmarkEnd w:id="13"/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Планируемые мероприятия объединены в отдельные разделы.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Наименования разделов отражают осуществление Контрольно-счетной комиссией контрольной и экспертно-аналитической деятельности, определенной действующим законодательством.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Структура плана работы может быть изменена с учетом особенностей и специфики организации контрольной и экспертно-аналитической деятельности Контрольно-счетной комиссии.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14519" w:rsidRPr="00614519" w:rsidRDefault="00614519" w:rsidP="00EF08D8">
      <w:pPr>
        <w:keepNext/>
        <w:keepLines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4" w:name="_Toc5094927"/>
      <w:bookmarkStart w:id="15" w:name="_Toc387006352"/>
      <w:bookmarkStart w:id="16" w:name="_Toc387006429"/>
      <w:bookmarkStart w:id="17" w:name="_Toc387006592"/>
      <w:r w:rsidRPr="00614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 Изменение годового плана работы Контрольно-счетной комиссии</w:t>
      </w:r>
      <w:bookmarkEnd w:id="14"/>
    </w:p>
    <w:p w:rsidR="00614519" w:rsidRPr="00614519" w:rsidRDefault="00614519" w:rsidP="00614519">
      <w:pPr>
        <w:ind w:left="0" w:firstLine="0"/>
        <w:jc w:val="left"/>
        <w:rPr>
          <w:rFonts w:ascii="Calibri" w:eastAsia="Times New Roman" w:hAnsi="Calibri" w:cs="Times New Roman"/>
          <w:sz w:val="20"/>
          <w:lang w:eastAsia="ru-RU"/>
        </w:rPr>
      </w:pPr>
    </w:p>
    <w:bookmarkEnd w:id="15"/>
    <w:bookmarkEnd w:id="16"/>
    <w:bookmarkEnd w:id="17"/>
    <w:p w:rsidR="00614519" w:rsidRPr="00614519" w:rsidRDefault="00614519" w:rsidP="00614519">
      <w:pPr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 Изменения в план работы Контрольно-счетной комиссии </w:t>
      </w:r>
      <w:r w:rsidR="003A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приказом председателя Контрольно-счетной комиссии</w:t>
      </w:r>
    </w:p>
    <w:p w:rsid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 w:rsidR="003A7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изменений в план работы Контрольно-счетной комиссии может вноситься в случаях:</w:t>
      </w:r>
    </w:p>
    <w:p w:rsidR="003A715E" w:rsidRDefault="003A715E" w:rsidP="00614519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-внесения дополнений и изменений в законодательные и иные нормативно-правовые акты Российской Федерации</w:t>
      </w:r>
      <w:r w:rsidR="00F83D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красноярского края, муниципального образования Северо-Енисейский район;</w:t>
      </w:r>
    </w:p>
    <w:p w:rsidR="00F83D74" w:rsidRDefault="00F83D74" w:rsidP="00614519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-поступления в течение текущего календарного года поручений </w:t>
      </w:r>
      <w:r w:rsidR="006912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 Совета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предложений Главы района;</w:t>
      </w:r>
    </w:p>
    <w:p w:rsidR="002C02BB" w:rsidRPr="00614519" w:rsidRDefault="002C02BB" w:rsidP="00614519">
      <w:pPr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в ходе подготовки или проведения контрольного (экспертно-аналитического мероприятия) существенных обстоятельств, требующих изменения наименования, перечня объектов, места или сроков проведения мероприятия;</w:t>
      </w:r>
    </w:p>
    <w:p w:rsidR="00614519" w:rsidRPr="00614519" w:rsidRDefault="00614519" w:rsidP="00614519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наименования мероприятий;</w:t>
      </w:r>
    </w:p>
    <w:p w:rsidR="00614519" w:rsidRPr="00614519" w:rsidRDefault="00614519" w:rsidP="00614519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сроков проведения мероприятий;</w:t>
      </w:r>
    </w:p>
    <w:p w:rsidR="00614519" w:rsidRPr="00614519" w:rsidRDefault="00614519" w:rsidP="00614519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исключения мероприятий из плана работы;</w:t>
      </w:r>
    </w:p>
    <w:p w:rsidR="00614519" w:rsidRPr="00614519" w:rsidRDefault="00614519" w:rsidP="00614519">
      <w:p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включения дополнительных мероприятий в план работы.</w:t>
      </w:r>
    </w:p>
    <w:p w:rsidR="00614519" w:rsidRPr="00614519" w:rsidRDefault="00614519" w:rsidP="00614519">
      <w:pPr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Предложения о внесении изменений в план работы Контрольно-счетной комиссии могут вноситься в следующих случаях:</w:t>
      </w:r>
    </w:p>
    <w:p w:rsidR="00614519" w:rsidRPr="00614519" w:rsidRDefault="00614519" w:rsidP="00614519">
      <w:pPr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выявления в ходе подготовки и (или) проведения мероприятия обстоятельств, требующих изменения наименования, сроков проведения мероприятия;</w:t>
      </w:r>
    </w:p>
    <w:p w:rsidR="00614519" w:rsidRPr="00614519" w:rsidRDefault="00614519" w:rsidP="00614519">
      <w:pPr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изменения действующего законодательства;</w:t>
      </w:r>
    </w:p>
    <w:p w:rsidR="00614519" w:rsidRPr="00614519" w:rsidRDefault="00614519" w:rsidP="00614519">
      <w:pPr>
        <w:tabs>
          <w:tab w:val="left" w:pos="1080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-утраты актуальности мероприятия, в том числе в связи с проведением проверки правоохранительными, надзорными, другими контрольными органами.</w:t>
      </w:r>
    </w:p>
    <w:p w:rsidR="00614519" w:rsidRPr="00614519" w:rsidRDefault="008F4AF0" w:rsidP="008F4AF0">
      <w:pPr>
        <w:widowControl w:val="0"/>
        <w:tabs>
          <w:tab w:val="left" w:pos="709"/>
        </w:tabs>
        <w:ind w:left="0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614519"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 Решение Контрольно-счетной </w:t>
      </w:r>
      <w:r w:rsidR="009D7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</w:t>
      </w:r>
      <w:r w:rsidR="00614519"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план работы направляется для согласования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Районный Совет</w:t>
      </w:r>
      <w:r w:rsidR="00614519" w:rsidRPr="006145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 иным органам (в соответствии с заключенными соглашениями) в течение 10 дней с момента его принятия. Электронная версия решения об изменении плана работы Контрольно-счетной комиссии,</w:t>
      </w:r>
      <w:r w:rsidR="00614519"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  в информационно-телекоммуникационной сети Интернет в течение 5 дней с момента его принятия</w:t>
      </w:r>
      <w:r w:rsidR="00614519" w:rsidRPr="006145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614519" w:rsidRPr="006145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сайте муниципального образования Северо-Енисейский район – «Контрольно-счетная комиссия Северо-Енисейского района».</w:t>
      </w:r>
    </w:p>
    <w:p w:rsidR="00614519" w:rsidRPr="00614519" w:rsidRDefault="00614519" w:rsidP="00614519">
      <w:pPr>
        <w:shd w:val="clear" w:color="auto" w:fill="FFFFFF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Pr="00614519" w:rsidRDefault="00614519" w:rsidP="009D7D09">
      <w:pPr>
        <w:keepNext/>
        <w:keepLines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8" w:name="_Toc5094928"/>
      <w:r w:rsidRPr="00614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proofErr w:type="gramStart"/>
      <w:r w:rsidRPr="00614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6145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выполнением годового плана работы Контрольно-счетной комиссии</w:t>
      </w:r>
      <w:bookmarkEnd w:id="18"/>
    </w:p>
    <w:p w:rsidR="00614519" w:rsidRPr="00614519" w:rsidRDefault="00614519" w:rsidP="00614519">
      <w:pPr>
        <w:keepNext/>
        <w:keepLines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lang w:eastAsia="ru-RU"/>
        </w:rPr>
        <w:t xml:space="preserve">6.1. Основной задачей </w:t>
      </w:r>
      <w:proofErr w:type="gramStart"/>
      <w:r w:rsidRPr="00614519">
        <w:rPr>
          <w:rFonts w:ascii="Times New Roman" w:eastAsia="Times New Roman" w:hAnsi="Times New Roman" w:cs="Times New Roman"/>
          <w:sz w:val="28"/>
          <w:lang w:eastAsia="ru-RU"/>
        </w:rPr>
        <w:t>контроля за</w:t>
      </w:r>
      <w:proofErr w:type="gramEnd"/>
      <w:r w:rsidRPr="00614519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плана работы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комиссии </w:t>
      </w:r>
      <w:r w:rsidRPr="00614519">
        <w:rPr>
          <w:rFonts w:ascii="Times New Roman" w:eastAsia="Times New Roman" w:hAnsi="Times New Roman" w:cs="Times New Roman"/>
          <w:sz w:val="28"/>
          <w:lang w:eastAsia="ru-RU"/>
        </w:rPr>
        <w:t xml:space="preserve">является обеспечение своевременного, полного и качественного выполнения мероприятий, включенных в план работы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комиссии</w:t>
      </w:r>
      <w:r w:rsidRPr="00614519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519">
        <w:rPr>
          <w:rFonts w:ascii="Times New Roman" w:eastAsia="Times New Roman" w:hAnsi="Times New Roman" w:cs="Times New Roman"/>
          <w:sz w:val="28"/>
          <w:lang w:eastAsia="ru-RU"/>
        </w:rPr>
        <w:t>6.2. </w:t>
      </w:r>
      <w:proofErr w:type="gramStart"/>
      <w:r w:rsidRPr="00614519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614519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утвержденного плана работы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комиссии </w:t>
      </w:r>
      <w:r w:rsidRPr="00614519">
        <w:rPr>
          <w:rFonts w:ascii="Times New Roman" w:eastAsia="Times New Roman" w:hAnsi="Times New Roman" w:cs="Times New Roman"/>
          <w:sz w:val="28"/>
          <w:lang w:eastAsia="ru-RU"/>
        </w:rPr>
        <w:t xml:space="preserve">осуществляется председателем </w:t>
      </w:r>
      <w:r w:rsidRPr="00614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Контрольно-счетной комиссии. </w:t>
      </w: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4DD5" w:rsidRPr="00614519" w:rsidRDefault="004C4DD5" w:rsidP="00614519">
      <w:pPr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14519" w:rsidRPr="00614519" w:rsidRDefault="00614519" w:rsidP="00614519">
      <w:pPr>
        <w:ind w:left="0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614519" w:rsidRPr="00614519" w:rsidRDefault="00614519" w:rsidP="00614519">
      <w:pPr>
        <w:ind w:lef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14519" w:rsidRPr="00614519" w:rsidSect="00C144B6">
          <w:headerReference w:type="default" r:id="rId8"/>
          <w:pgSz w:w="11906" w:h="16838" w:code="9"/>
          <w:pgMar w:top="1134" w:right="567" w:bottom="142" w:left="1276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page" w:horzAnchor="margin" w:tblpXSpec="center" w:tblpY="811"/>
        <w:tblW w:w="4993" w:type="pct"/>
        <w:tblCellSpacing w:w="0" w:type="dxa"/>
        <w:tblInd w:w="13" w:type="dxa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  <w:insideH w:val="single" w:sz="6" w:space="0" w:color="C4C4C4"/>
          <w:insideV w:val="single" w:sz="6" w:space="0" w:color="C4C4C4"/>
        </w:tblBorders>
        <w:tblCellMar>
          <w:left w:w="0" w:type="dxa"/>
          <w:right w:w="0" w:type="dxa"/>
        </w:tblCellMar>
        <w:tblLook w:val="04A0"/>
      </w:tblPr>
      <w:tblGrid>
        <w:gridCol w:w="9779"/>
      </w:tblGrid>
      <w:tr w:rsidR="00F12FBF" w:rsidRPr="00F12FBF" w:rsidTr="008D779D">
        <w:trPr>
          <w:trHeight w:val="14258"/>
          <w:tblHeader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p w:rsidR="009069AC" w:rsidRDefault="009069AC" w:rsidP="009069AC">
            <w:pPr>
              <w:ind w:left="284" w:hanging="284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bookmarkStart w:id="19" w:name="_Toc5094932"/>
          </w:p>
          <w:p w:rsidR="00F12FBF" w:rsidRPr="007F35A8" w:rsidRDefault="00F12FBF" w:rsidP="009069AC">
            <w:pPr>
              <w:ind w:left="5245" w:hanging="425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№1</w:t>
            </w:r>
          </w:p>
          <w:p w:rsidR="00286D83" w:rsidRPr="007F35A8" w:rsidRDefault="00F12FBF" w:rsidP="009069AC">
            <w:pPr>
              <w:ind w:left="284" w:firstLine="4536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Утвержден</w:t>
            </w:r>
          </w:p>
          <w:p w:rsidR="00BD6264" w:rsidRPr="007F35A8" w:rsidRDefault="00F12FBF" w:rsidP="007F35A8">
            <w:pPr>
              <w:ind w:left="4820" w:firstLine="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приказом </w:t>
            </w:r>
          </w:p>
          <w:p w:rsidR="00BD6264" w:rsidRPr="007F35A8" w:rsidRDefault="00F12FBF" w:rsidP="007F35A8">
            <w:pPr>
              <w:ind w:left="284" w:firstLine="4536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</w:t>
            </w:r>
            <w:proofErr w:type="gramStart"/>
            <w:r w:rsidRPr="007F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7F3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gramEnd"/>
            <w:r w:rsidRPr="007F3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счетной комиссии </w:t>
            </w:r>
          </w:p>
          <w:p w:rsidR="00F12FBF" w:rsidRPr="007F35A8" w:rsidRDefault="00F12FBF" w:rsidP="007F35A8">
            <w:pPr>
              <w:ind w:left="284" w:firstLine="4536"/>
              <w:jc w:val="left"/>
              <w:outlineLvl w:val="2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F3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Северо-Енисейского района</w:t>
            </w:r>
          </w:p>
          <w:p w:rsidR="00F12FBF" w:rsidRPr="007F35A8" w:rsidRDefault="00F12FBF" w:rsidP="007F35A8">
            <w:pPr>
              <w:ind w:left="0" w:firstLine="4820"/>
              <w:jc w:val="left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F3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от __  _____</w:t>
            </w:r>
            <w:r w:rsidR="007F3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_</w:t>
            </w:r>
            <w:r w:rsidRPr="007F35A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 20_  года</w:t>
            </w:r>
            <w:r w:rsidRPr="007F35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№___</w:t>
            </w:r>
          </w:p>
          <w:p w:rsidR="00F12FBF" w:rsidRPr="007F35A8" w:rsidRDefault="00F12FBF" w:rsidP="009069AC">
            <w:pPr>
              <w:ind w:left="0" w:firstLine="0"/>
              <w:jc w:val="left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  <w:lang w:eastAsia="ru-RU"/>
              </w:rPr>
            </w:pPr>
          </w:p>
          <w:p w:rsidR="00F12FBF" w:rsidRPr="002C02BB" w:rsidRDefault="00F12FBF" w:rsidP="002C02BB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2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План</w:t>
            </w:r>
          </w:p>
          <w:p w:rsidR="002C02BB" w:rsidRDefault="00F12FBF" w:rsidP="002C02BB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2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работы Контрольно-счетной комиссии Северо-Енисейского района</w:t>
            </w:r>
          </w:p>
          <w:p w:rsidR="00F12FBF" w:rsidRPr="002C02BB" w:rsidRDefault="00F12FBF" w:rsidP="002C02BB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2C02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на 20__ год</w:t>
            </w:r>
          </w:p>
          <w:p w:rsidR="00F12FBF" w:rsidRPr="002C02BB" w:rsidRDefault="00F12FBF" w:rsidP="002C02BB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12FBF" w:rsidRPr="00F12FBF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12FBF" w:rsidRPr="007F35A8" w:rsidRDefault="00F12FBF" w:rsidP="004C4DD5">
            <w:pPr>
              <w:spacing w:before="450"/>
              <w:ind w:left="0" w:firstLine="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F35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20__ год                                                                                                       </w:t>
            </w:r>
          </w:p>
        </w:tc>
      </w:tr>
      <w:tr w:rsidR="009069AC" w:rsidRPr="002025FD" w:rsidTr="008D779D">
        <w:trPr>
          <w:trHeight w:val="14258"/>
          <w:tblHeader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tbl>
            <w:tblPr>
              <w:tblW w:w="11711" w:type="dxa"/>
              <w:tblLook w:val="04A0"/>
            </w:tblPr>
            <w:tblGrid>
              <w:gridCol w:w="851"/>
              <w:gridCol w:w="3223"/>
              <w:gridCol w:w="1598"/>
              <w:gridCol w:w="1017"/>
              <w:gridCol w:w="1018"/>
              <w:gridCol w:w="1559"/>
              <w:gridCol w:w="765"/>
              <w:gridCol w:w="50"/>
              <w:gridCol w:w="815"/>
              <w:gridCol w:w="815"/>
            </w:tblGrid>
            <w:tr w:rsidR="007F35A8" w:rsidRPr="00D876C2" w:rsidTr="006E2E8F">
              <w:trPr>
                <w:gridAfter w:val="4"/>
                <w:wAfter w:w="2445" w:type="dxa"/>
                <w:trHeight w:val="1071"/>
              </w:trPr>
              <w:tc>
                <w:tcPr>
                  <w:tcW w:w="4074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35A8" w:rsidRPr="00D876C2" w:rsidRDefault="007F35A8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 мероприятий</w:t>
                  </w:r>
                </w:p>
              </w:tc>
              <w:tc>
                <w:tcPr>
                  <w:tcW w:w="159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35A8" w:rsidRPr="00D876C2" w:rsidRDefault="007F35A8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Срок проведения</w:t>
                  </w:r>
                </w:p>
              </w:tc>
              <w:tc>
                <w:tcPr>
                  <w:tcW w:w="2035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F35A8" w:rsidRPr="00D876C2" w:rsidRDefault="007F35A8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Ответственные исполнители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7F35A8" w:rsidRPr="00D876C2" w:rsidRDefault="007F35A8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Основание для включения в план</w:t>
                  </w:r>
                </w:p>
              </w:tc>
            </w:tr>
            <w:tr w:rsidR="007F35A8" w:rsidRPr="00D876C2" w:rsidTr="007B1301">
              <w:trPr>
                <w:gridAfter w:val="3"/>
                <w:wAfter w:w="1680" w:type="dxa"/>
                <w:trHeight w:val="375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5A8" w:rsidRPr="00D876C2" w:rsidRDefault="007F35A8" w:rsidP="008B0115">
                  <w:pPr>
                    <w:framePr w:hSpace="180" w:wrap="around" w:vAnchor="page" w:hAnchor="margin" w:xAlign="center" w:y="811"/>
                    <w:ind w:left="0" w:firstLine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I. Экспертно-аналитическая деятельность</w:t>
                  </w:r>
                </w:p>
              </w:tc>
            </w:tr>
            <w:tr w:rsidR="007F35A8" w:rsidRPr="00D876C2" w:rsidTr="007B1301">
              <w:trPr>
                <w:gridAfter w:val="3"/>
                <w:wAfter w:w="1680" w:type="dxa"/>
                <w:trHeight w:val="315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F35A8" w:rsidRPr="00D876C2" w:rsidRDefault="007F35A8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1.1 Экспертиза проектов Решений о бюджете Северо-Енисейского района</w:t>
                  </w:r>
                </w:p>
              </w:tc>
            </w:tr>
            <w:tr w:rsidR="00A20189" w:rsidRPr="00D876C2" w:rsidTr="00874619">
              <w:trPr>
                <w:trHeight w:val="510"/>
              </w:trPr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  <w:gridSpan w:val="2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5" w:type="dxa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1320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1.2 Финансово-экономическая экспертиза проектов Решений Северо-Енисейского районного Совета депутатов и нормативно-правовых актов администрации Северо-Енисейского района в части, касающейся расходных обязательств района, а также муниципальных программ района</w:t>
                  </w:r>
                </w:p>
              </w:tc>
            </w:tr>
            <w:tr w:rsidR="00A20189" w:rsidRPr="00D876C2" w:rsidTr="00874619">
              <w:trPr>
                <w:gridAfter w:val="4"/>
                <w:wAfter w:w="2445" w:type="dxa"/>
                <w:trHeight w:val="569"/>
              </w:trPr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375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1.3</w:t>
                  </w:r>
                  <w:proofErr w:type="gramStart"/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И</w:t>
                  </w:r>
                  <w:proofErr w:type="gramEnd"/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ная экспертно-аналитическая деятельность</w:t>
                  </w:r>
                </w:p>
              </w:tc>
            </w:tr>
            <w:tr w:rsidR="00A20189" w:rsidRPr="00D876C2" w:rsidTr="00874619">
              <w:trPr>
                <w:gridAfter w:val="3"/>
                <w:wAfter w:w="1680" w:type="dxa"/>
                <w:trHeight w:val="375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375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 Контрольная деятельность</w:t>
                  </w:r>
                </w:p>
              </w:tc>
            </w:tr>
            <w:tr w:rsidR="00A20189" w:rsidRPr="00D876C2" w:rsidTr="00874619">
              <w:trPr>
                <w:gridAfter w:val="4"/>
                <w:wAfter w:w="2445" w:type="dxa"/>
                <w:trHeight w:val="415"/>
              </w:trPr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0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576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34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2.1 Контроль исполнения бюджета района</w:t>
                  </w:r>
                </w:p>
              </w:tc>
            </w:tr>
            <w:tr w:rsidR="00A20189" w:rsidRPr="00D876C2" w:rsidTr="00874619">
              <w:trPr>
                <w:gridAfter w:val="4"/>
                <w:wAfter w:w="2445" w:type="dxa"/>
                <w:trHeight w:val="437"/>
              </w:trPr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26333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26333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300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2.2 Контроль расходов средств бюджета Северо-Енисейского района, выделенных на исполнение муниципальных программ Северо-Енисейского района</w:t>
                  </w:r>
                </w:p>
              </w:tc>
            </w:tr>
            <w:tr w:rsidR="00A20189" w:rsidRPr="00D876C2" w:rsidTr="00874619">
              <w:trPr>
                <w:gridAfter w:val="4"/>
                <w:wAfter w:w="2445" w:type="dxa"/>
                <w:trHeight w:val="415"/>
              </w:trPr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375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2.3 </w:t>
                  </w:r>
                  <w:proofErr w:type="gramStart"/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Контроль за</w:t>
                  </w:r>
                  <w:proofErr w:type="gramEnd"/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законностью, результативностью (эффективностью и экономностью) использования средств бюджета района, а также средств, получаемых бюджетом района из иных источников, предусмотренных законодательством Российской Федерации</w:t>
                  </w:r>
                </w:p>
              </w:tc>
            </w:tr>
            <w:tr w:rsidR="00A20189" w:rsidRPr="00D876C2" w:rsidTr="00874619">
              <w:trPr>
                <w:gridAfter w:val="4"/>
                <w:wAfter w:w="2445" w:type="dxa"/>
                <w:trHeight w:val="465"/>
              </w:trPr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26333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263336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375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3.Реализация материалов контрольных и экспертно-аналитических мероприятий</w:t>
                  </w:r>
                </w:p>
              </w:tc>
            </w:tr>
            <w:tr w:rsidR="00A20189" w:rsidRPr="00D876C2" w:rsidTr="00874619">
              <w:trPr>
                <w:gridAfter w:val="4"/>
                <w:wAfter w:w="2445" w:type="dxa"/>
                <w:trHeight w:val="551"/>
              </w:trPr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375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4.Правовое, методологическое, информационное обеспечение деятельности Контрольно-счетной комиссии</w:t>
                  </w:r>
                </w:p>
              </w:tc>
            </w:tr>
            <w:tr w:rsidR="00A20189" w:rsidRPr="00D876C2" w:rsidTr="00874619">
              <w:trPr>
                <w:gridAfter w:val="3"/>
                <w:wAfter w:w="1680" w:type="dxa"/>
                <w:trHeight w:val="375"/>
              </w:trPr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2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B1301" w:rsidRPr="00D876C2" w:rsidTr="007B1301">
              <w:trPr>
                <w:gridAfter w:val="3"/>
                <w:wAfter w:w="1680" w:type="dxa"/>
                <w:trHeight w:val="375"/>
              </w:trPr>
              <w:tc>
                <w:tcPr>
                  <w:tcW w:w="1003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5. Взаимодействие с правоохранительными органами, Счетной палатой Красноярского края, Союзом МКСО и его комиссиями, другими </w:t>
                  </w:r>
                </w:p>
                <w:p w:rsidR="007B1301" w:rsidRPr="00D876C2" w:rsidRDefault="007B1301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органами</w:t>
                  </w:r>
                </w:p>
              </w:tc>
            </w:tr>
            <w:tr w:rsidR="00A20189" w:rsidRPr="00D876C2" w:rsidTr="00874619">
              <w:trPr>
                <w:gridAfter w:val="4"/>
                <w:wAfter w:w="2445" w:type="dxa"/>
                <w:trHeight w:val="647"/>
              </w:trPr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3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20189" w:rsidRPr="00D876C2" w:rsidRDefault="00A20189" w:rsidP="007B1301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069AC" w:rsidRPr="00D876C2" w:rsidRDefault="009069AC" w:rsidP="009069AC">
            <w:pPr>
              <w:ind w:left="284" w:hanging="284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D779D" w:rsidRPr="002025FD" w:rsidTr="008D779D">
        <w:trPr>
          <w:trHeight w:val="14258"/>
          <w:tblHeader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105" w:type="dxa"/>
              <w:bottom w:w="45" w:type="dxa"/>
              <w:right w:w="105" w:type="dxa"/>
            </w:tcMar>
          </w:tcPr>
          <w:tbl>
            <w:tblPr>
              <w:tblW w:w="9889" w:type="dxa"/>
              <w:tblLook w:val="04A0"/>
            </w:tblPr>
            <w:tblGrid>
              <w:gridCol w:w="876"/>
              <w:gridCol w:w="4242"/>
              <w:gridCol w:w="1511"/>
              <w:gridCol w:w="1701"/>
              <w:gridCol w:w="1559"/>
            </w:tblGrid>
            <w:tr w:rsidR="008D779D" w:rsidRPr="00D876C2" w:rsidTr="008B0115">
              <w:trPr>
                <w:trHeight w:val="375"/>
              </w:trPr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D779D" w:rsidRPr="00D876C2" w:rsidRDefault="008D779D" w:rsidP="007B1301">
                  <w:pPr>
                    <w:framePr w:hSpace="180" w:wrap="around" w:vAnchor="page" w:hAnchor="margin" w:xAlign="center" w:y="811"/>
                    <w:ind w:left="0" w:firstLine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6. </w:t>
                  </w:r>
                  <w:r w:rsidR="007B1301"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Материально-техническое обеспечение и бухгалтерский учет</w:t>
                  </w:r>
                </w:p>
              </w:tc>
            </w:tr>
            <w:tr w:rsidR="008D779D" w:rsidRPr="00D876C2" w:rsidTr="008B0115">
              <w:trPr>
                <w:trHeight w:val="300"/>
              </w:trPr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D779D" w:rsidRPr="00D876C2" w:rsidTr="008B0115">
              <w:trPr>
                <w:trHeight w:val="375"/>
              </w:trPr>
              <w:tc>
                <w:tcPr>
                  <w:tcW w:w="988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D779D" w:rsidRPr="00D876C2" w:rsidRDefault="008D779D" w:rsidP="007B1301">
                  <w:pPr>
                    <w:framePr w:hSpace="180" w:wrap="around" w:vAnchor="page" w:hAnchor="margin" w:xAlign="center" w:y="811"/>
                    <w:ind w:left="0" w:firstLine="0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7. </w:t>
                  </w:r>
                  <w:r w:rsidR="007B1301" w:rsidRPr="00D876C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Организационная работа</w:t>
                  </w:r>
                </w:p>
              </w:tc>
            </w:tr>
            <w:tr w:rsidR="008D779D" w:rsidRPr="00D876C2" w:rsidTr="008B0115">
              <w:trPr>
                <w:trHeight w:val="389"/>
              </w:trPr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79D" w:rsidRPr="00D876C2" w:rsidRDefault="008D779D" w:rsidP="00A20189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024D7" w:rsidRPr="00D876C2" w:rsidTr="00DF2F28">
              <w:trPr>
                <w:trHeight w:val="415"/>
              </w:trPr>
              <w:tc>
                <w:tcPr>
                  <w:tcW w:w="9889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1024D7" w:rsidRPr="00D876C2" w:rsidRDefault="001024D7" w:rsidP="001024D7">
                  <w:pPr>
                    <w:framePr w:hSpace="180" w:wrap="around" w:vAnchor="page" w:hAnchor="margin" w:xAlign="center" w:y="811"/>
                    <w:ind w:left="0" w:firstLine="0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>8. Противодействие коррупции</w:t>
                  </w:r>
                </w:p>
              </w:tc>
            </w:tr>
            <w:tr w:rsidR="008D779D" w:rsidRPr="00D876C2" w:rsidTr="008B0115">
              <w:trPr>
                <w:trHeight w:val="421"/>
              </w:trPr>
              <w:tc>
                <w:tcPr>
                  <w:tcW w:w="87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D779D" w:rsidRPr="00D876C2" w:rsidRDefault="008D779D" w:rsidP="001024D7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242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1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779D" w:rsidRPr="00D876C2" w:rsidRDefault="008D779D" w:rsidP="008B0115">
                  <w:pPr>
                    <w:framePr w:hSpace="180" w:wrap="around" w:vAnchor="page" w:hAnchor="margin" w:xAlign="center" w:y="811"/>
                    <w:ind w:left="0" w:firstLine="0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D876C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D779D" w:rsidRPr="00D876C2" w:rsidRDefault="008D779D" w:rsidP="009069AC">
            <w:pPr>
              <w:ind w:left="284" w:hanging="284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F12FBF" w:rsidRPr="00F12FBF" w:rsidRDefault="00F12FBF" w:rsidP="00F12FBF">
      <w:pPr>
        <w:spacing w:line="276" w:lineRule="auto"/>
        <w:ind w:left="0" w:firstLine="0"/>
        <w:jc w:val="left"/>
        <w:rPr>
          <w:rFonts w:ascii="Calibri" w:eastAsia="Calibri" w:hAnsi="Calibri" w:cs="Times New Roman"/>
          <w:vanish/>
        </w:rPr>
      </w:pPr>
    </w:p>
    <w:bookmarkEnd w:id="19"/>
    <w:p w:rsidR="00614519" w:rsidRDefault="00614519" w:rsidP="00F12FBF">
      <w:pPr>
        <w:spacing w:after="200" w:line="360" w:lineRule="auto"/>
        <w:ind w:left="0" w:firstLine="0"/>
      </w:pPr>
    </w:p>
    <w:sectPr w:rsidR="00614519" w:rsidSect="004C4DD5">
      <w:pgSz w:w="12134" w:h="16840" w:code="9"/>
      <w:pgMar w:top="1134" w:right="851" w:bottom="1134" w:left="1701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374" w:rsidRDefault="00EC0374" w:rsidP="00676917">
      <w:r>
        <w:separator/>
      </w:r>
    </w:p>
  </w:endnote>
  <w:endnote w:type="continuationSeparator" w:id="0">
    <w:p w:rsidR="00EC0374" w:rsidRDefault="00EC0374" w:rsidP="006769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374" w:rsidRDefault="00EC0374" w:rsidP="00676917">
      <w:r>
        <w:separator/>
      </w:r>
    </w:p>
  </w:footnote>
  <w:footnote w:type="continuationSeparator" w:id="0">
    <w:p w:rsidR="00EC0374" w:rsidRDefault="00EC0374" w:rsidP="006769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519" w:rsidRPr="0061031B" w:rsidRDefault="0063700D">
    <w:pPr>
      <w:pStyle w:val="a4"/>
      <w:jc w:val="center"/>
      <w:rPr>
        <w:rFonts w:ascii="Times New Roman" w:hAnsi="Times New Roman"/>
      </w:rPr>
    </w:pPr>
    <w:r w:rsidRPr="0061031B">
      <w:rPr>
        <w:rFonts w:ascii="Times New Roman" w:hAnsi="Times New Roman"/>
      </w:rPr>
      <w:fldChar w:fldCharType="begin"/>
    </w:r>
    <w:r w:rsidR="00614519" w:rsidRPr="0061031B">
      <w:rPr>
        <w:rFonts w:ascii="Times New Roman" w:hAnsi="Times New Roman"/>
      </w:rPr>
      <w:instrText xml:space="preserve"> PAGE   \* MERGEFORMAT </w:instrText>
    </w:r>
    <w:r w:rsidRPr="0061031B">
      <w:rPr>
        <w:rFonts w:ascii="Times New Roman" w:hAnsi="Times New Roman"/>
      </w:rPr>
      <w:fldChar w:fldCharType="separate"/>
    </w:r>
    <w:r w:rsidR="00F62489">
      <w:rPr>
        <w:rFonts w:ascii="Times New Roman" w:hAnsi="Times New Roman"/>
        <w:noProof/>
      </w:rPr>
      <w:t>9</w:t>
    </w:r>
    <w:r w:rsidRPr="0061031B">
      <w:rPr>
        <w:rFonts w:ascii="Times New Roman" w:hAnsi="Times New Roman"/>
      </w:rPr>
      <w:fldChar w:fldCharType="end"/>
    </w:r>
  </w:p>
  <w:p w:rsidR="00614519" w:rsidRDefault="006145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7744F"/>
    <w:multiLevelType w:val="multilevel"/>
    <w:tmpl w:val="7054D1BC"/>
    <w:lvl w:ilvl="0">
      <w:start w:val="1"/>
      <w:numFmt w:val="decimal"/>
      <w:lvlText w:val="%1."/>
      <w:lvlJc w:val="left"/>
      <w:pPr>
        <w:ind w:left="2530" w:hanging="139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1">
    <w:nsid w:val="4954605C"/>
    <w:multiLevelType w:val="multilevel"/>
    <w:tmpl w:val="CA9695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14519"/>
    <w:rsid w:val="0001797A"/>
    <w:rsid w:val="00053E14"/>
    <w:rsid w:val="00075F84"/>
    <w:rsid w:val="00096070"/>
    <w:rsid w:val="000C4A90"/>
    <w:rsid w:val="001024D7"/>
    <w:rsid w:val="001272F2"/>
    <w:rsid w:val="00130BDD"/>
    <w:rsid w:val="00193C53"/>
    <w:rsid w:val="001B6E78"/>
    <w:rsid w:val="001E3291"/>
    <w:rsid w:val="001E5B91"/>
    <w:rsid w:val="002025FD"/>
    <w:rsid w:val="00222F4A"/>
    <w:rsid w:val="00284E38"/>
    <w:rsid w:val="00286D83"/>
    <w:rsid w:val="002C02BB"/>
    <w:rsid w:val="002E2008"/>
    <w:rsid w:val="00303459"/>
    <w:rsid w:val="003355C7"/>
    <w:rsid w:val="00383169"/>
    <w:rsid w:val="003A2AC1"/>
    <w:rsid w:val="003A715E"/>
    <w:rsid w:val="003C7523"/>
    <w:rsid w:val="003D3354"/>
    <w:rsid w:val="003E2026"/>
    <w:rsid w:val="003F1AAD"/>
    <w:rsid w:val="003F6DB9"/>
    <w:rsid w:val="00413C7D"/>
    <w:rsid w:val="00456EF5"/>
    <w:rsid w:val="004764CF"/>
    <w:rsid w:val="004C4DD5"/>
    <w:rsid w:val="00504407"/>
    <w:rsid w:val="00511352"/>
    <w:rsid w:val="00566483"/>
    <w:rsid w:val="00584D8B"/>
    <w:rsid w:val="00584EE8"/>
    <w:rsid w:val="00585B5F"/>
    <w:rsid w:val="005928AA"/>
    <w:rsid w:val="005D6D9A"/>
    <w:rsid w:val="00601600"/>
    <w:rsid w:val="00605B9F"/>
    <w:rsid w:val="00614519"/>
    <w:rsid w:val="00621698"/>
    <w:rsid w:val="006241C3"/>
    <w:rsid w:val="00633D52"/>
    <w:rsid w:val="0063700D"/>
    <w:rsid w:val="00663708"/>
    <w:rsid w:val="00676917"/>
    <w:rsid w:val="006912A9"/>
    <w:rsid w:val="00696D46"/>
    <w:rsid w:val="006A10C9"/>
    <w:rsid w:val="006B6DC3"/>
    <w:rsid w:val="006D10B3"/>
    <w:rsid w:val="006D7284"/>
    <w:rsid w:val="006E2E8F"/>
    <w:rsid w:val="0070194F"/>
    <w:rsid w:val="00723DB5"/>
    <w:rsid w:val="00773E71"/>
    <w:rsid w:val="00786A42"/>
    <w:rsid w:val="007B0149"/>
    <w:rsid w:val="007B1301"/>
    <w:rsid w:val="007B2B37"/>
    <w:rsid w:val="007C2417"/>
    <w:rsid w:val="007F35A8"/>
    <w:rsid w:val="007F5790"/>
    <w:rsid w:val="00810F48"/>
    <w:rsid w:val="00825061"/>
    <w:rsid w:val="008464AA"/>
    <w:rsid w:val="008623FE"/>
    <w:rsid w:val="008654DB"/>
    <w:rsid w:val="00874619"/>
    <w:rsid w:val="00877361"/>
    <w:rsid w:val="008825C1"/>
    <w:rsid w:val="008C5A4A"/>
    <w:rsid w:val="008D779D"/>
    <w:rsid w:val="008E53F0"/>
    <w:rsid w:val="008F4AF0"/>
    <w:rsid w:val="009069AC"/>
    <w:rsid w:val="0092727C"/>
    <w:rsid w:val="00973873"/>
    <w:rsid w:val="00992594"/>
    <w:rsid w:val="009D7D09"/>
    <w:rsid w:val="00A20189"/>
    <w:rsid w:val="00A20779"/>
    <w:rsid w:val="00A5191B"/>
    <w:rsid w:val="00AF0149"/>
    <w:rsid w:val="00AF5B70"/>
    <w:rsid w:val="00AF6AAC"/>
    <w:rsid w:val="00AF7C0B"/>
    <w:rsid w:val="00B41B22"/>
    <w:rsid w:val="00B67871"/>
    <w:rsid w:val="00BB211B"/>
    <w:rsid w:val="00BD0855"/>
    <w:rsid w:val="00BD42FC"/>
    <w:rsid w:val="00BD6264"/>
    <w:rsid w:val="00C10AAF"/>
    <w:rsid w:val="00C144B6"/>
    <w:rsid w:val="00C21115"/>
    <w:rsid w:val="00C3416E"/>
    <w:rsid w:val="00C70D98"/>
    <w:rsid w:val="00C723C4"/>
    <w:rsid w:val="00D42813"/>
    <w:rsid w:val="00D52B18"/>
    <w:rsid w:val="00D62621"/>
    <w:rsid w:val="00D8085B"/>
    <w:rsid w:val="00D876C2"/>
    <w:rsid w:val="00D87ECE"/>
    <w:rsid w:val="00DB6EDA"/>
    <w:rsid w:val="00DE285F"/>
    <w:rsid w:val="00DE52C0"/>
    <w:rsid w:val="00DF1102"/>
    <w:rsid w:val="00E27246"/>
    <w:rsid w:val="00E842E7"/>
    <w:rsid w:val="00EC0374"/>
    <w:rsid w:val="00EC31AD"/>
    <w:rsid w:val="00EC3EA3"/>
    <w:rsid w:val="00EC5D36"/>
    <w:rsid w:val="00EE1CFC"/>
    <w:rsid w:val="00EF08D8"/>
    <w:rsid w:val="00F03DAC"/>
    <w:rsid w:val="00F06399"/>
    <w:rsid w:val="00F12FBF"/>
    <w:rsid w:val="00F40386"/>
    <w:rsid w:val="00F544A2"/>
    <w:rsid w:val="00F62489"/>
    <w:rsid w:val="00F631FA"/>
    <w:rsid w:val="00F772B0"/>
    <w:rsid w:val="00F83D74"/>
    <w:rsid w:val="00FA5514"/>
    <w:rsid w:val="00FC0365"/>
    <w:rsid w:val="00FC5AFC"/>
    <w:rsid w:val="00FD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51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4519"/>
    <w:pPr>
      <w:tabs>
        <w:tab w:val="center" w:pos="4677"/>
        <w:tab w:val="right" w:pos="9355"/>
      </w:tabs>
      <w:ind w:left="0"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14519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F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DEDB5-56A1-4676-AED4-59D9C41DD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2216</Words>
  <Characters>12635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2. Цель, задачи и принципы планирования работы  Контрольно-счетной комиссии</vt:lpstr>
      <vt:lpstr>3. Формирование и утверждение годового плана работы  Контрольно-счетной комиссии</vt:lpstr>
      <vt:lpstr/>
      <vt:lpstr>4. Форма, структура и содержание годового плана работы Контрольно-счетной комисс</vt:lpstr>
      <vt:lpstr>5. Изменение годового плана работы Контрольно-счетной комиссии</vt:lpstr>
      <vt:lpstr>6. Контроль за выполнением годового плана работы Контрольно-счетной комиссии</vt:lpstr>
      <vt:lpstr/>
    </vt:vector>
  </TitlesOfParts>
  <Company>Администрация Северо-Енисейского района</Company>
  <LinksUpToDate>false</LinksUpToDate>
  <CharactersWithSpaces>14822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SNP</dc:creator>
  <cp:lastModifiedBy>SNP</cp:lastModifiedBy>
  <cp:revision>22</cp:revision>
  <cp:lastPrinted>2022-03-22T02:40:00Z</cp:lastPrinted>
  <dcterms:created xsi:type="dcterms:W3CDTF">2022-02-16T03:37:00Z</dcterms:created>
  <dcterms:modified xsi:type="dcterms:W3CDTF">2022-03-22T06:01:00Z</dcterms:modified>
</cp:coreProperties>
</file>