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ведения о достижении </w:t>
      </w: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ключевых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показателей развития конкуренции </w:t>
      </w:r>
    </w:p>
    <w:p w:rsidR="00B10722" w:rsidRDefault="001A65F3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в отр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аслях (сферах, товарных рынках) экономики С</w:t>
      </w:r>
      <w:r w:rsidR="00D76E6F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еверо-Енисейского района за 202</w:t>
      </w:r>
      <w:r w:rsidR="007F7A92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2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год</w:t>
      </w: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120F98">
        <w:trPr>
          <w:gridAfter w:val="8"/>
          <w:wAfter w:w="2368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120F98">
        <w:trPr>
          <w:gridAfter w:val="8"/>
          <w:wAfter w:w="2368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7F3C6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01.01.20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7F3C6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</w:t>
            </w:r>
            <w:r w:rsidR="00624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жение ключевых показателей (ожидаемое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 состоянию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120F98">
        <w:trPr>
          <w:gridAfter w:val="8"/>
          <w:wAfter w:w="2368" w:type="pct"/>
          <w:trHeight w:val="48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120F98">
        <w:trPr>
          <w:gridAfter w:val="8"/>
          <w:wAfter w:w="2368" w:type="pct"/>
          <w:trHeight w:val="463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455DFE" w:rsidTr="00120F98">
        <w:trPr>
          <w:gridAfter w:val="8"/>
          <w:wAfter w:w="2368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Default="00C37F0B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</w:t>
            </w:r>
            <w:r w:rsidR="00904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юридической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Pr="00CA5D30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455DFE" w:rsidP="00A116D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A11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455DFE" w:rsidP="001B18DC">
            <w:pPr>
              <w:jc w:val="center"/>
              <w:rPr>
                <w:sz w:val="24"/>
                <w:szCs w:val="24"/>
              </w:rPr>
            </w:pPr>
            <w:r w:rsidRPr="00455DFE">
              <w:rPr>
                <w:sz w:val="24"/>
                <w:szCs w:val="24"/>
              </w:rPr>
              <w:t>8</w:t>
            </w:r>
            <w:r w:rsidR="001B18DC">
              <w:rPr>
                <w:sz w:val="24"/>
                <w:szCs w:val="24"/>
              </w:rPr>
              <w:t>5</w:t>
            </w:r>
            <w:r w:rsidRPr="00455DFE">
              <w:rPr>
                <w:sz w:val="24"/>
                <w:szCs w:val="24"/>
              </w:rPr>
              <w:t>,</w:t>
            </w:r>
            <w:r w:rsidR="001B18DC"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C37F0B" w:rsidP="001B18DC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65DA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увеличилось по отношению к 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</w:t>
            </w:r>
            <w:r w:rsidR="00153A42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 w:rsidR="001B1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55DFE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1B1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процентных</w:t>
            </w:r>
            <w:proofErr w:type="gramEnd"/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C37F0B" w:rsidRPr="00CA5D30" w:rsidTr="00120F98">
        <w:trPr>
          <w:gridAfter w:val="8"/>
          <w:wAfter w:w="2368" w:type="pct"/>
          <w:trHeight w:val="38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</w:tr>
      <w:tr w:rsidR="00120F98" w:rsidRPr="00CA5D30" w:rsidTr="00120F98">
        <w:trPr>
          <w:gridAfter w:val="8"/>
          <w:wAfter w:w="2368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1149A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7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120F98" w:rsidRPr="00CA5D30" w:rsidTr="00120F98">
        <w:trPr>
          <w:gridAfter w:val="8"/>
          <w:wAfter w:w="2368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3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471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120F98" w:rsidRPr="00CA5D30" w:rsidTr="00120F98">
        <w:trPr>
          <w:gridAfter w:val="8"/>
          <w:wAfter w:w="2368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7A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34EC5" w:rsidP="00434E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увеличилось по отношению к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29,03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процентных</w:t>
            </w:r>
            <w:proofErr w:type="gramEnd"/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Розничный рынок нефтепродуктов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28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120F98" w:rsidRPr="00CA5D30" w:rsidTr="00120F98">
        <w:trPr>
          <w:gridAfter w:val="8"/>
          <w:wAfter w:w="2368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35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120F98" w:rsidRPr="00CA5D30" w:rsidTr="00120F98">
        <w:trPr>
          <w:gridAfter w:val="8"/>
          <w:wAfter w:w="2368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trHeight w:val="469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55DFE" w:rsidP="00D65452">
            <w:pPr>
              <w:jc w:val="center"/>
              <w:rPr>
                <w:sz w:val="24"/>
                <w:szCs w:val="24"/>
              </w:rPr>
            </w:pPr>
            <w:r w:rsidRPr="00455DFE">
              <w:rPr>
                <w:sz w:val="24"/>
                <w:szCs w:val="24"/>
              </w:rPr>
              <w:t>88,9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55DFE" w:rsidP="00164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D" w:rsidRPr="00CA5D30" w:rsidRDefault="00455DFE" w:rsidP="007F3C6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увеличилось по отношению к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процентных пункта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связи с появлением на территории Северо-Енисейского района двух новых организаций</w:t>
            </w:r>
          </w:p>
        </w:tc>
      </w:tr>
      <w:tr w:rsidR="00120F98" w:rsidRPr="00CA5D30" w:rsidTr="00120F98">
        <w:trPr>
          <w:gridAfter w:val="8"/>
          <w:wAfter w:w="2368" w:type="pct"/>
          <w:trHeight w:val="42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120F98" w:rsidRPr="00CA5D30" w:rsidTr="00120F98">
        <w:trPr>
          <w:gridAfter w:val="8"/>
          <w:wAfter w:w="2368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7F3C6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7F3C66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2012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Опубликование и актуализация на </w:t>
            </w:r>
            <w:proofErr w:type="gramStart"/>
            <w:r w:rsidRPr="00CA5D30">
              <w:rPr>
                <w:rFonts w:eastAsia="Calibri"/>
                <w:sz w:val="24"/>
                <w:szCs w:val="24"/>
              </w:rPr>
              <w:t>официальном</w:t>
            </w:r>
            <w:proofErr w:type="gramEnd"/>
            <w:r w:rsidRPr="00CA5D30">
              <w:rPr>
                <w:rFonts w:eastAsia="Calibri"/>
                <w:sz w:val="24"/>
                <w:szCs w:val="24"/>
              </w:rPr>
              <w:t xml:space="preserve">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На официальном сайте Северо-Енисейского района информаци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A5D30">
              <w:rPr>
                <w:rFonts w:eastAsia="Calibri"/>
                <w:sz w:val="24"/>
                <w:szCs w:val="24"/>
              </w:rPr>
              <w:t xml:space="preserve"> об объектах, находящихся в муниципальной собственности опубликована </w:t>
            </w:r>
          </w:p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8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416A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</w:t>
            </w:r>
            <w:r w:rsidR="007F3C66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 xml:space="preserve"> года проводились мероприятия, направленные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2B9E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2B9E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 (</w:t>
            </w:r>
            <w:hyperlink r:id="rId9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</w:t>
            </w:r>
            <w:r>
              <w:rPr>
                <w:sz w:val="24"/>
                <w:szCs w:val="24"/>
              </w:rPr>
              <w:t>Енисейский В</w:t>
            </w:r>
            <w:r w:rsidRPr="00CA5D30">
              <w:rPr>
                <w:sz w:val="24"/>
                <w:szCs w:val="24"/>
              </w:rPr>
              <w:t>естник»</w:t>
            </w:r>
          </w:p>
        </w:tc>
      </w:tr>
      <w:tr w:rsidR="00120F98" w:rsidRPr="00CA5D30" w:rsidTr="00120F98">
        <w:trPr>
          <w:gridAfter w:val="8"/>
          <w:wAfter w:w="2368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</w:t>
            </w:r>
            <w:r w:rsidR="002012E9">
              <w:rPr>
                <w:sz w:val="24"/>
                <w:szCs w:val="24"/>
              </w:rPr>
              <w:t>униципальных услуг» организован</w:t>
            </w:r>
            <w:r w:rsidRPr="00CA5D30">
              <w:rPr>
                <w:sz w:val="24"/>
                <w:szCs w:val="24"/>
              </w:rPr>
              <w:t>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2B9E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</w:t>
            </w:r>
            <w:r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F421F8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F421F8">
              <w:rPr>
                <w:sz w:val="24"/>
                <w:szCs w:val="24"/>
              </w:rPr>
              <w:t xml:space="preserve">» </w:t>
            </w:r>
          </w:p>
          <w:p w:rsidR="00120F98" w:rsidRPr="00F421F8" w:rsidRDefault="00120F98" w:rsidP="000D4656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 xml:space="preserve">(в ред. от 22.05.2014г. № 204-п, от 28.03.2016 № 138-п, от 27.04.2016 г. № 225/1-п, от 03.11.2016 № 730-п; </w:t>
            </w:r>
            <w:proofErr w:type="gramStart"/>
            <w:r w:rsidRPr="00F421F8">
              <w:rPr>
                <w:sz w:val="24"/>
                <w:szCs w:val="24"/>
              </w:rPr>
              <w:t>от</w:t>
            </w:r>
            <w:proofErr w:type="gramEnd"/>
            <w:r w:rsidRPr="00F421F8">
              <w:rPr>
                <w:sz w:val="24"/>
                <w:szCs w:val="24"/>
              </w:rPr>
              <w:t xml:space="preserve"> 02.02.2017 № 22-п, от 14.08.2017 № 324-п, от 02.04.2019 № 111-п, от </w:t>
            </w:r>
            <w:r w:rsidRPr="00F421F8">
              <w:rPr>
                <w:sz w:val="24"/>
                <w:szCs w:val="24"/>
              </w:rPr>
              <w:lastRenderedPageBreak/>
              <w:t>15.07.2019 № 245-п, от 27.09.2019 № 351-п, от 06.05.2020 № 165-п, от 19.11.2020 № 515-п; от 04.03.2021 № 114-п; от 11.10.2021 № 365-п</w:t>
            </w:r>
            <w:r w:rsidR="007F3C66">
              <w:rPr>
                <w:sz w:val="24"/>
                <w:szCs w:val="24"/>
              </w:rPr>
              <w:t>, от 18.03.</w:t>
            </w:r>
            <w:r w:rsidR="000D4656">
              <w:rPr>
                <w:sz w:val="24"/>
                <w:szCs w:val="24"/>
              </w:rPr>
              <w:t>2022 № 111-п, от 23.09.2022 № 413-п</w:t>
            </w:r>
            <w:r w:rsidRPr="00F421F8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Вестник» на постоянной основе </w:t>
            </w:r>
          </w:p>
        </w:tc>
      </w:tr>
      <w:tr w:rsidR="00120F98" w:rsidRPr="00CA5D30" w:rsidTr="00120F98">
        <w:trPr>
          <w:gridAfter w:val="8"/>
          <w:wAfter w:w="2368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120F98" w:rsidRPr="00CA5D30" w:rsidTr="00120F98">
        <w:trPr>
          <w:gridAfter w:val="8"/>
          <w:wAfter w:w="2368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D62B9E" w:rsidRDefault="00120F98" w:rsidP="00920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B9E">
              <w:rPr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920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сфере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в виде информационного и методического сопровождения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</w:t>
            </w:r>
            <w:r>
              <w:rPr>
                <w:color w:val="000000"/>
                <w:sz w:val="24"/>
                <w:szCs w:val="24"/>
              </w:rPr>
              <w:t xml:space="preserve">и организаций </w:t>
            </w:r>
            <w:r w:rsidRPr="00CA5D30">
              <w:rPr>
                <w:color w:val="000000"/>
                <w:sz w:val="24"/>
                <w:szCs w:val="24"/>
              </w:rPr>
              <w:t xml:space="preserve">района, предоставляемых по инвестиционным проектам </w:t>
            </w:r>
          </w:p>
        </w:tc>
      </w:tr>
    </w:tbl>
    <w:p w:rsidR="00CA5D30" w:rsidRDefault="00CA5D30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B0B52" w:rsidRDefault="000B0B52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0B0B52" w:rsidSect="00B10722">
      <w:footerReference w:type="default" r:id="rId10"/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18" w:rsidRDefault="00421118" w:rsidP="00512FC2">
      <w:r>
        <w:separator/>
      </w:r>
    </w:p>
  </w:endnote>
  <w:endnote w:type="continuationSeparator" w:id="0">
    <w:p w:rsidR="00421118" w:rsidRDefault="00421118" w:rsidP="0051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311"/>
      <w:docPartObj>
        <w:docPartGallery w:val="Page Numbers (Bottom of Page)"/>
        <w:docPartUnique/>
      </w:docPartObj>
    </w:sdtPr>
    <w:sdtContent>
      <w:p w:rsidR="001B18DC" w:rsidRDefault="00E45EE7">
        <w:pPr>
          <w:pStyle w:val="af"/>
          <w:jc w:val="right"/>
        </w:pPr>
        <w:fldSimple w:instr=" PAGE   \* MERGEFORMAT ">
          <w:r w:rsidR="00A67D55">
            <w:rPr>
              <w:noProof/>
            </w:rPr>
            <w:t>1</w:t>
          </w:r>
        </w:fldSimple>
      </w:p>
    </w:sdtContent>
  </w:sdt>
  <w:p w:rsidR="001B18DC" w:rsidRDefault="001B18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18" w:rsidRDefault="00421118" w:rsidP="00512FC2">
      <w:r>
        <w:separator/>
      </w:r>
    </w:p>
  </w:footnote>
  <w:footnote w:type="continuationSeparator" w:id="0">
    <w:p w:rsidR="00421118" w:rsidRDefault="00421118" w:rsidP="0051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24"/>
    <w:rsid w:val="00014049"/>
    <w:rsid w:val="00026B26"/>
    <w:rsid w:val="00040907"/>
    <w:rsid w:val="000435E3"/>
    <w:rsid w:val="00053C03"/>
    <w:rsid w:val="0006216D"/>
    <w:rsid w:val="0006733A"/>
    <w:rsid w:val="00072788"/>
    <w:rsid w:val="000777A0"/>
    <w:rsid w:val="000A339B"/>
    <w:rsid w:val="000B0B52"/>
    <w:rsid w:val="000C2EF0"/>
    <w:rsid w:val="000D267A"/>
    <w:rsid w:val="000D4656"/>
    <w:rsid w:val="000E35ED"/>
    <w:rsid w:val="00112ACB"/>
    <w:rsid w:val="001149AD"/>
    <w:rsid w:val="00116A6C"/>
    <w:rsid w:val="00120F98"/>
    <w:rsid w:val="0014395A"/>
    <w:rsid w:val="001536F7"/>
    <w:rsid w:val="001539D2"/>
    <w:rsid w:val="00153A42"/>
    <w:rsid w:val="001568D5"/>
    <w:rsid w:val="00160C01"/>
    <w:rsid w:val="00161B75"/>
    <w:rsid w:val="001644F1"/>
    <w:rsid w:val="00164A3F"/>
    <w:rsid w:val="001846D2"/>
    <w:rsid w:val="00190130"/>
    <w:rsid w:val="001A3ABD"/>
    <w:rsid w:val="001A65F3"/>
    <w:rsid w:val="001B18DC"/>
    <w:rsid w:val="001C572B"/>
    <w:rsid w:val="001D2340"/>
    <w:rsid w:val="001F17A7"/>
    <w:rsid w:val="00200601"/>
    <w:rsid w:val="002012E9"/>
    <w:rsid w:val="002016C4"/>
    <w:rsid w:val="00204141"/>
    <w:rsid w:val="00204BD9"/>
    <w:rsid w:val="002203C4"/>
    <w:rsid w:val="0024346B"/>
    <w:rsid w:val="002440B1"/>
    <w:rsid w:val="00252574"/>
    <w:rsid w:val="002527DA"/>
    <w:rsid w:val="002540CD"/>
    <w:rsid w:val="00257C2A"/>
    <w:rsid w:val="00263363"/>
    <w:rsid w:val="00282986"/>
    <w:rsid w:val="002873B7"/>
    <w:rsid w:val="00290E08"/>
    <w:rsid w:val="002D766B"/>
    <w:rsid w:val="003052BC"/>
    <w:rsid w:val="003128DD"/>
    <w:rsid w:val="00317D62"/>
    <w:rsid w:val="0032156D"/>
    <w:rsid w:val="0034397E"/>
    <w:rsid w:val="003439E7"/>
    <w:rsid w:val="00352681"/>
    <w:rsid w:val="003635DE"/>
    <w:rsid w:val="003747CE"/>
    <w:rsid w:val="0039086B"/>
    <w:rsid w:val="00391ABF"/>
    <w:rsid w:val="003C7B27"/>
    <w:rsid w:val="003F38D7"/>
    <w:rsid w:val="00416AC6"/>
    <w:rsid w:val="00416E80"/>
    <w:rsid w:val="00421118"/>
    <w:rsid w:val="00423FB8"/>
    <w:rsid w:val="004246E7"/>
    <w:rsid w:val="00434EC5"/>
    <w:rsid w:val="00455DFE"/>
    <w:rsid w:val="0046588E"/>
    <w:rsid w:val="004734CF"/>
    <w:rsid w:val="00491F9A"/>
    <w:rsid w:val="004B5CBF"/>
    <w:rsid w:val="004C4F4C"/>
    <w:rsid w:val="004C6B00"/>
    <w:rsid w:val="004F0C11"/>
    <w:rsid w:val="004F6D62"/>
    <w:rsid w:val="0050194B"/>
    <w:rsid w:val="00510847"/>
    <w:rsid w:val="00512FC2"/>
    <w:rsid w:val="005215A4"/>
    <w:rsid w:val="005229C2"/>
    <w:rsid w:val="0054035C"/>
    <w:rsid w:val="00546964"/>
    <w:rsid w:val="00550359"/>
    <w:rsid w:val="00562336"/>
    <w:rsid w:val="00572083"/>
    <w:rsid w:val="0058471A"/>
    <w:rsid w:val="00590D3E"/>
    <w:rsid w:val="0059297D"/>
    <w:rsid w:val="00596BF5"/>
    <w:rsid w:val="00597FF4"/>
    <w:rsid w:val="005C06AF"/>
    <w:rsid w:val="005D4471"/>
    <w:rsid w:val="005F44A8"/>
    <w:rsid w:val="006248E6"/>
    <w:rsid w:val="00631356"/>
    <w:rsid w:val="0066089B"/>
    <w:rsid w:val="006677C6"/>
    <w:rsid w:val="00667AAF"/>
    <w:rsid w:val="00694080"/>
    <w:rsid w:val="006962CA"/>
    <w:rsid w:val="006A6A3B"/>
    <w:rsid w:val="006D7B39"/>
    <w:rsid w:val="006E5A88"/>
    <w:rsid w:val="006F031A"/>
    <w:rsid w:val="00734DBA"/>
    <w:rsid w:val="007511FC"/>
    <w:rsid w:val="00757DE3"/>
    <w:rsid w:val="007628E0"/>
    <w:rsid w:val="00772E26"/>
    <w:rsid w:val="00784331"/>
    <w:rsid w:val="007A2A4B"/>
    <w:rsid w:val="007A5CC0"/>
    <w:rsid w:val="007B3209"/>
    <w:rsid w:val="007C3C6A"/>
    <w:rsid w:val="007D0FFE"/>
    <w:rsid w:val="007D7DA5"/>
    <w:rsid w:val="007E0868"/>
    <w:rsid w:val="007F3C66"/>
    <w:rsid w:val="007F7A92"/>
    <w:rsid w:val="00822407"/>
    <w:rsid w:val="0082534F"/>
    <w:rsid w:val="00851934"/>
    <w:rsid w:val="008865DA"/>
    <w:rsid w:val="008A141D"/>
    <w:rsid w:val="008A79EF"/>
    <w:rsid w:val="008B6BE9"/>
    <w:rsid w:val="008B74AE"/>
    <w:rsid w:val="008C1E97"/>
    <w:rsid w:val="008C6F46"/>
    <w:rsid w:val="008C7CB0"/>
    <w:rsid w:val="008E13E8"/>
    <w:rsid w:val="00900B12"/>
    <w:rsid w:val="00904FDD"/>
    <w:rsid w:val="00906A97"/>
    <w:rsid w:val="00911CB0"/>
    <w:rsid w:val="00920022"/>
    <w:rsid w:val="009211D5"/>
    <w:rsid w:val="009404C8"/>
    <w:rsid w:val="009553EC"/>
    <w:rsid w:val="00957338"/>
    <w:rsid w:val="00974EC3"/>
    <w:rsid w:val="009A0490"/>
    <w:rsid w:val="009B7128"/>
    <w:rsid w:val="009C20FC"/>
    <w:rsid w:val="009C252D"/>
    <w:rsid w:val="009D09B8"/>
    <w:rsid w:val="009D5015"/>
    <w:rsid w:val="009E490B"/>
    <w:rsid w:val="00A01D6F"/>
    <w:rsid w:val="00A116D0"/>
    <w:rsid w:val="00A2031C"/>
    <w:rsid w:val="00A2560D"/>
    <w:rsid w:val="00A40BF4"/>
    <w:rsid w:val="00A429FB"/>
    <w:rsid w:val="00A44340"/>
    <w:rsid w:val="00A5686D"/>
    <w:rsid w:val="00A67D55"/>
    <w:rsid w:val="00A7430A"/>
    <w:rsid w:val="00A951B0"/>
    <w:rsid w:val="00AA4055"/>
    <w:rsid w:val="00AA4248"/>
    <w:rsid w:val="00AB00D4"/>
    <w:rsid w:val="00AB2672"/>
    <w:rsid w:val="00AB3324"/>
    <w:rsid w:val="00AC3DC2"/>
    <w:rsid w:val="00AD27FF"/>
    <w:rsid w:val="00AF3BEE"/>
    <w:rsid w:val="00AF6C5A"/>
    <w:rsid w:val="00AF7E83"/>
    <w:rsid w:val="00B0020A"/>
    <w:rsid w:val="00B05957"/>
    <w:rsid w:val="00B10722"/>
    <w:rsid w:val="00B12664"/>
    <w:rsid w:val="00B21193"/>
    <w:rsid w:val="00B25B57"/>
    <w:rsid w:val="00B465D8"/>
    <w:rsid w:val="00B6385D"/>
    <w:rsid w:val="00B6606F"/>
    <w:rsid w:val="00B705BF"/>
    <w:rsid w:val="00B711BA"/>
    <w:rsid w:val="00B71A46"/>
    <w:rsid w:val="00BB7236"/>
    <w:rsid w:val="00BF05CF"/>
    <w:rsid w:val="00C02A12"/>
    <w:rsid w:val="00C22844"/>
    <w:rsid w:val="00C34716"/>
    <w:rsid w:val="00C34C37"/>
    <w:rsid w:val="00C37F0B"/>
    <w:rsid w:val="00C4754A"/>
    <w:rsid w:val="00C52C9D"/>
    <w:rsid w:val="00C53B29"/>
    <w:rsid w:val="00C71927"/>
    <w:rsid w:val="00C72B9E"/>
    <w:rsid w:val="00C771CE"/>
    <w:rsid w:val="00C81035"/>
    <w:rsid w:val="00C8391E"/>
    <w:rsid w:val="00C90F85"/>
    <w:rsid w:val="00C94C99"/>
    <w:rsid w:val="00CA5D30"/>
    <w:rsid w:val="00CA6E83"/>
    <w:rsid w:val="00CE2854"/>
    <w:rsid w:val="00D008F0"/>
    <w:rsid w:val="00D27A20"/>
    <w:rsid w:val="00D3270B"/>
    <w:rsid w:val="00D37BCF"/>
    <w:rsid w:val="00D62B9E"/>
    <w:rsid w:val="00D64280"/>
    <w:rsid w:val="00D65452"/>
    <w:rsid w:val="00D76E6F"/>
    <w:rsid w:val="00D77D92"/>
    <w:rsid w:val="00D80A48"/>
    <w:rsid w:val="00DA342A"/>
    <w:rsid w:val="00DB528E"/>
    <w:rsid w:val="00DD060F"/>
    <w:rsid w:val="00DE7D70"/>
    <w:rsid w:val="00DF2BB7"/>
    <w:rsid w:val="00DF2D6A"/>
    <w:rsid w:val="00E10E62"/>
    <w:rsid w:val="00E11BBC"/>
    <w:rsid w:val="00E122E6"/>
    <w:rsid w:val="00E15EA8"/>
    <w:rsid w:val="00E354FF"/>
    <w:rsid w:val="00E45EE7"/>
    <w:rsid w:val="00E760F5"/>
    <w:rsid w:val="00E84208"/>
    <w:rsid w:val="00E85422"/>
    <w:rsid w:val="00EA46C8"/>
    <w:rsid w:val="00EA4B94"/>
    <w:rsid w:val="00EA69D7"/>
    <w:rsid w:val="00EB398D"/>
    <w:rsid w:val="00EC01CB"/>
    <w:rsid w:val="00ED057A"/>
    <w:rsid w:val="00EF35FC"/>
    <w:rsid w:val="00F0488C"/>
    <w:rsid w:val="00F1130B"/>
    <w:rsid w:val="00F135BA"/>
    <w:rsid w:val="00F211A1"/>
    <w:rsid w:val="00F234EF"/>
    <w:rsid w:val="00F235D0"/>
    <w:rsid w:val="00F421F8"/>
    <w:rsid w:val="00F42DC3"/>
    <w:rsid w:val="00F451B1"/>
    <w:rsid w:val="00F57345"/>
    <w:rsid w:val="00F64CD5"/>
    <w:rsid w:val="00F65DF7"/>
    <w:rsid w:val="00F75839"/>
    <w:rsid w:val="00FE01AB"/>
    <w:rsid w:val="00FE4E5D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character" w:styleId="af1">
    <w:name w:val="FollowedHyperlink"/>
    <w:basedOn w:val="a0"/>
    <w:uiPriority w:val="99"/>
    <w:semiHidden/>
    <w:unhideWhenUsed/>
    <w:rsid w:val="007D0FFE"/>
    <w:rPr>
      <w:color w:val="800080" w:themeColor="followedHyperlink"/>
      <w:u w:val="single"/>
    </w:rPr>
  </w:style>
  <w:style w:type="character" w:customStyle="1" w:styleId="WW8Num1z3">
    <w:name w:val="WW8Num1z3"/>
    <w:rsid w:val="00F1130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/administratsiya/munitsipalnoe-imushchestvo/svedeniya-ob-obektakh-nakhodyashchikhsya-v-munitsipalnoy-sobstven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e.ru/administratsiya/munitsipalnoe-imushchestvo/nezhilye-pomeshcheniya-zdaniya-stroeniya-sooruzheniya/auktsion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91540-3E3B-4687-9C7D-934352B3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Кириллова</cp:lastModifiedBy>
  <cp:revision>5</cp:revision>
  <cp:lastPrinted>2022-12-26T07:18:00Z</cp:lastPrinted>
  <dcterms:created xsi:type="dcterms:W3CDTF">2022-12-26T07:11:00Z</dcterms:created>
  <dcterms:modified xsi:type="dcterms:W3CDTF">2022-12-29T07:18:00Z</dcterms:modified>
</cp:coreProperties>
</file>